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spacing w:before="0" w:beforeAutospacing="0" w:after="0" w:afterAutospacing="0" w:line="240" w:lineRule="auto"/>
        <w:ind w:firstLine="0" w:firstLineChars="0"/>
        <w:jc w:val="center"/>
        <w:rPr>
          <w:rStyle w:val="27"/>
          <w:rFonts w:ascii="黑体" w:hAnsi="黑体" w:cs="黑体"/>
          <w:color w:val="000000" w:themeColor="text1"/>
          <w:sz w:val="32"/>
          <w:szCs w:val="32"/>
          <w14:textFill>
            <w14:solidFill>
              <w14:schemeClr w14:val="tx1"/>
            </w14:solidFill>
          </w14:textFill>
        </w:rPr>
      </w:pPr>
      <w:bookmarkStart w:id="0" w:name="_Toc522879657"/>
      <w:r>
        <w:rPr>
          <w:rStyle w:val="27"/>
          <w:rFonts w:hint="eastAsia" w:ascii="黑体" w:hAnsi="黑体" w:cs="黑体"/>
          <w:color w:val="000000" w:themeColor="text1"/>
          <w:sz w:val="32"/>
          <w:szCs w:val="32"/>
          <w14:textFill>
            <w14:solidFill>
              <w14:schemeClr w14:val="tx1"/>
            </w14:solidFill>
          </w14:textFill>
        </w:rPr>
        <w:t>宠物临床诊疗技术专业人才培养方案</w:t>
      </w:r>
    </w:p>
    <w:p>
      <w:pPr>
        <w:pStyle w:val="28"/>
        <w:spacing w:before="0" w:beforeAutospacing="0" w:after="0" w:afterAutospacing="0" w:line="240" w:lineRule="auto"/>
        <w:ind w:firstLine="0" w:firstLineChars="0"/>
        <w:jc w:val="center"/>
        <w:rPr>
          <w:rStyle w:val="27"/>
          <w:rFonts w:ascii="黑体" w:hAnsi="黑体" w:cs="黑体"/>
          <w:color w:val="000000" w:themeColor="text1"/>
          <w:sz w:val="32"/>
          <w:szCs w:val="32"/>
          <w14:textFill>
            <w14:solidFill>
              <w14:schemeClr w14:val="tx1"/>
            </w14:solidFill>
          </w14:textFill>
        </w:rPr>
      </w:pPr>
      <w:r>
        <w:rPr>
          <w:rStyle w:val="27"/>
          <w:rFonts w:hint="eastAsia" w:ascii="黑体" w:hAnsi="黑体" w:cs="黑体"/>
          <w:color w:val="000000" w:themeColor="text1"/>
          <w:sz w:val="32"/>
          <w:szCs w:val="32"/>
          <w14:textFill>
            <w14:solidFill>
              <w14:schemeClr w14:val="tx1"/>
            </w14:solidFill>
          </w14:textFill>
        </w:rPr>
        <w:t>编制说明</w:t>
      </w:r>
    </w:p>
    <w:p>
      <w:pPr>
        <w:pStyle w:val="28"/>
        <w:spacing w:before="0" w:beforeAutospacing="0" w:after="0" w:afterAutospacing="0" w:line="240" w:lineRule="auto"/>
        <w:ind w:firstLine="0" w:firstLineChars="0"/>
        <w:jc w:val="center"/>
        <w:rPr>
          <w:rStyle w:val="27"/>
          <w:rFonts w:ascii="黑体" w:hAnsi="黑体" w:cs="黑体"/>
          <w:color w:val="000000" w:themeColor="text1"/>
          <w:sz w:val="32"/>
          <w:szCs w:val="32"/>
          <w14:textFill>
            <w14:solidFill>
              <w14:schemeClr w14:val="tx1"/>
            </w14:solidFill>
          </w14:textFill>
        </w:rPr>
      </w:pPr>
    </w:p>
    <w:p>
      <w:pPr>
        <w:ind w:firstLine="504"/>
        <w:rPr>
          <w:rStyle w:val="27"/>
          <w:rFonts w:ascii="宋体" w:hAnsi="宋体" w:cs="宋体"/>
          <w:color w:val="000000" w:themeColor="text1"/>
          <w:spacing w:val="6"/>
          <w:kern w:val="0"/>
          <w:szCs w:val="24"/>
          <w14:textFill>
            <w14:solidFill>
              <w14:schemeClr w14:val="tx1"/>
            </w14:solidFill>
          </w14:textFill>
        </w:rPr>
      </w:pPr>
      <w:r>
        <w:rPr>
          <w:rStyle w:val="27"/>
          <w:rFonts w:hint="eastAsia" w:ascii="宋体" w:hAnsi="宋体" w:cs="宋体"/>
          <w:color w:val="000000" w:themeColor="text1"/>
          <w:spacing w:val="6"/>
          <w:kern w:val="0"/>
          <w:szCs w:val="24"/>
          <w14:textFill>
            <w14:solidFill>
              <w14:schemeClr w14:val="tx1"/>
            </w14:solidFill>
          </w14:textFill>
        </w:rPr>
        <w:t>本专业人才培养方案适用于三年制全日制高职宠物临床诊疗技术专业，由洛阳职业技术学院食品与药品学院组织宠物临床诊疗技术专业相关教师及合作企业专家共同制订，供2019级宠物临床诊疗技术专业学生使用。</w:t>
      </w:r>
    </w:p>
    <w:p>
      <w:pPr>
        <w:pStyle w:val="28"/>
        <w:spacing w:before="156" w:beforeLines="50" w:beforeAutospacing="0" w:after="156" w:afterLines="50" w:afterAutospacing="0" w:line="440" w:lineRule="exact"/>
        <w:ind w:firstLine="0" w:firstLineChars="0"/>
        <w:jc w:val="center"/>
        <w:rPr>
          <w:rStyle w:val="27"/>
          <w:rFonts w:ascii="宋体" w:hAnsi="宋体" w:eastAsia="宋体"/>
          <w:b/>
          <w:color w:val="000000" w:themeColor="text1"/>
          <w:sz w:val="32"/>
          <w:szCs w:val="32"/>
          <w14:textFill>
            <w14:solidFill>
              <w14:schemeClr w14:val="tx1"/>
            </w14:solidFill>
          </w14:textFill>
        </w:rPr>
      </w:pPr>
      <w:r>
        <w:rPr>
          <w:rStyle w:val="27"/>
          <w:rFonts w:hint="eastAsia" w:ascii="宋体" w:hAnsi="宋体" w:eastAsia="宋体"/>
          <w:b/>
          <w:color w:val="000000" w:themeColor="text1"/>
          <w:sz w:val="32"/>
          <w:szCs w:val="32"/>
          <w14:textFill>
            <w14:solidFill>
              <w14:schemeClr w14:val="tx1"/>
            </w14:solidFill>
          </w14:textFill>
        </w:rPr>
        <w:t>主要编制人员一览表</w:t>
      </w:r>
    </w:p>
    <w:tbl>
      <w:tblPr>
        <w:tblStyle w:val="12"/>
        <w:tblW w:w="8787" w:type="dxa"/>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850"/>
        <w:gridCol w:w="1134"/>
        <w:gridCol w:w="1417"/>
        <w:gridCol w:w="3685"/>
        <w:gridCol w:w="1701"/>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b/>
                <w:color w:val="000000" w:themeColor="text1"/>
                <w:szCs w:val="24"/>
                <w14:textFill>
                  <w14:solidFill>
                    <w14:schemeClr w14:val="tx1"/>
                  </w14:solidFill>
                </w14:textFill>
              </w:rPr>
            </w:pPr>
            <w:r>
              <w:rPr>
                <w:rStyle w:val="27"/>
                <w:rFonts w:hint="eastAsia" w:ascii="宋体" w:hAnsi="宋体" w:cs="宋体"/>
                <w:b/>
                <w:color w:val="000000" w:themeColor="text1"/>
                <w:szCs w:val="24"/>
                <w14:textFill>
                  <w14:solidFill>
                    <w14:schemeClr w14:val="tx1"/>
                  </w14:solidFill>
                </w14:textFill>
              </w:rPr>
              <w:t>序号</w:t>
            </w:r>
          </w:p>
        </w:tc>
        <w:tc>
          <w:tcPr>
            <w:tcW w:w="1134" w:type="dxa"/>
            <w:shd w:val="clear" w:color="auto" w:fill="auto"/>
            <w:vAlign w:val="center"/>
          </w:tcPr>
          <w:p>
            <w:pPr>
              <w:spacing w:line="240" w:lineRule="atLeast"/>
              <w:ind w:firstLine="0" w:firstLineChars="0"/>
              <w:jc w:val="center"/>
              <w:rPr>
                <w:rStyle w:val="27"/>
                <w:rFonts w:ascii="宋体" w:hAnsi="宋体" w:cs="宋体"/>
                <w:b/>
                <w:color w:val="000000" w:themeColor="text1"/>
                <w:szCs w:val="24"/>
                <w14:textFill>
                  <w14:solidFill>
                    <w14:schemeClr w14:val="tx1"/>
                  </w14:solidFill>
                </w14:textFill>
              </w:rPr>
            </w:pPr>
            <w:r>
              <w:rPr>
                <w:rStyle w:val="27"/>
                <w:rFonts w:hint="eastAsia" w:ascii="宋体" w:hAnsi="宋体" w:cs="宋体"/>
                <w:b/>
                <w:color w:val="000000" w:themeColor="text1"/>
                <w:szCs w:val="24"/>
                <w14:textFill>
                  <w14:solidFill>
                    <w14:schemeClr w14:val="tx1"/>
                  </w14:solidFill>
                </w14:textFill>
              </w:rPr>
              <w:t>类别</w:t>
            </w:r>
          </w:p>
        </w:tc>
        <w:tc>
          <w:tcPr>
            <w:tcW w:w="1417" w:type="dxa"/>
            <w:shd w:val="clear" w:color="auto" w:fill="auto"/>
            <w:vAlign w:val="center"/>
          </w:tcPr>
          <w:p>
            <w:pPr>
              <w:spacing w:line="240" w:lineRule="atLeast"/>
              <w:ind w:firstLine="0" w:firstLineChars="0"/>
              <w:jc w:val="center"/>
              <w:rPr>
                <w:rStyle w:val="27"/>
                <w:rFonts w:ascii="宋体" w:hAnsi="宋体" w:cs="宋体"/>
                <w:b/>
                <w:color w:val="000000" w:themeColor="text1"/>
                <w:szCs w:val="24"/>
                <w14:textFill>
                  <w14:solidFill>
                    <w14:schemeClr w14:val="tx1"/>
                  </w14:solidFill>
                </w14:textFill>
              </w:rPr>
            </w:pPr>
            <w:r>
              <w:rPr>
                <w:rStyle w:val="27"/>
                <w:rFonts w:hint="eastAsia" w:ascii="宋体" w:hAnsi="宋体" w:cs="宋体"/>
                <w:b/>
                <w:color w:val="000000" w:themeColor="text1"/>
                <w:szCs w:val="24"/>
                <w14:textFill>
                  <w14:solidFill>
                    <w14:schemeClr w14:val="tx1"/>
                  </w14:solidFill>
                </w14:textFill>
              </w:rPr>
              <w:t>姓   名</w:t>
            </w:r>
          </w:p>
        </w:tc>
        <w:tc>
          <w:tcPr>
            <w:tcW w:w="3685" w:type="dxa"/>
            <w:shd w:val="clear" w:color="auto" w:fill="auto"/>
            <w:vAlign w:val="center"/>
          </w:tcPr>
          <w:p>
            <w:pPr>
              <w:spacing w:line="240" w:lineRule="atLeast"/>
              <w:ind w:firstLine="0" w:firstLineChars="0"/>
              <w:jc w:val="center"/>
              <w:rPr>
                <w:rStyle w:val="27"/>
                <w:rFonts w:ascii="宋体" w:hAnsi="宋体" w:cs="宋体"/>
                <w:b/>
                <w:color w:val="000000" w:themeColor="text1"/>
                <w:szCs w:val="24"/>
                <w14:textFill>
                  <w14:solidFill>
                    <w14:schemeClr w14:val="tx1"/>
                  </w14:solidFill>
                </w14:textFill>
              </w:rPr>
            </w:pPr>
            <w:r>
              <w:rPr>
                <w:rStyle w:val="27"/>
                <w:rFonts w:hint="eastAsia" w:ascii="宋体" w:hAnsi="宋体" w:cs="宋体"/>
                <w:b/>
                <w:color w:val="000000" w:themeColor="text1"/>
                <w:szCs w:val="24"/>
                <w14:textFill>
                  <w14:solidFill>
                    <w14:schemeClr w14:val="tx1"/>
                  </w14:solidFill>
                </w14:textFill>
              </w:rPr>
              <w:t>所 在 单 位</w:t>
            </w:r>
          </w:p>
        </w:tc>
        <w:tc>
          <w:tcPr>
            <w:tcW w:w="1701" w:type="dxa"/>
            <w:shd w:val="clear" w:color="auto" w:fill="auto"/>
            <w:vAlign w:val="center"/>
          </w:tcPr>
          <w:p>
            <w:pPr>
              <w:spacing w:line="240" w:lineRule="atLeast"/>
              <w:ind w:firstLine="0" w:firstLineChars="0"/>
              <w:jc w:val="center"/>
              <w:rPr>
                <w:rStyle w:val="27"/>
                <w:rFonts w:ascii="宋体" w:hAnsi="宋体" w:cs="宋体"/>
                <w:b/>
                <w:color w:val="000000" w:themeColor="text1"/>
                <w:szCs w:val="24"/>
                <w14:textFill>
                  <w14:solidFill>
                    <w14:schemeClr w14:val="tx1"/>
                  </w14:solidFill>
                </w14:textFill>
              </w:rPr>
            </w:pPr>
            <w:r>
              <w:rPr>
                <w:rStyle w:val="27"/>
                <w:rFonts w:hint="eastAsia" w:ascii="宋体" w:hAnsi="宋体" w:cs="宋体"/>
                <w:b/>
                <w:color w:val="000000" w:themeColor="text1"/>
                <w:szCs w:val="24"/>
                <w14:textFill>
                  <w14:solidFill>
                    <w14:schemeClr w14:val="tx1"/>
                  </w14:solidFill>
                </w14:textFill>
              </w:rPr>
              <w:t>职称/职务</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1</w:t>
            </w:r>
          </w:p>
        </w:tc>
        <w:tc>
          <w:tcPr>
            <w:tcW w:w="1134"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负责人</w:t>
            </w:r>
          </w:p>
        </w:tc>
        <w:tc>
          <w:tcPr>
            <w:tcW w:w="1417"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朱志红</w:t>
            </w:r>
          </w:p>
        </w:tc>
        <w:tc>
          <w:tcPr>
            <w:tcW w:w="3685"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食品与药品学院</w:t>
            </w:r>
          </w:p>
        </w:tc>
        <w:tc>
          <w:tcPr>
            <w:tcW w:w="1701"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副教授/副院长</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2</w:t>
            </w:r>
          </w:p>
        </w:tc>
        <w:tc>
          <w:tcPr>
            <w:tcW w:w="1134"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审定人</w:t>
            </w:r>
          </w:p>
        </w:tc>
        <w:tc>
          <w:tcPr>
            <w:tcW w:w="1417"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董均</w:t>
            </w:r>
          </w:p>
        </w:tc>
        <w:tc>
          <w:tcPr>
            <w:tcW w:w="3685"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食品与药品学院</w:t>
            </w:r>
          </w:p>
        </w:tc>
        <w:tc>
          <w:tcPr>
            <w:tcW w:w="1701"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副教授/院长</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ascii="宋体" w:hAnsi="宋体" w:cs="宋体"/>
                <w:color w:val="000000" w:themeColor="text1"/>
                <w:szCs w:val="24"/>
                <w14:textFill>
                  <w14:solidFill>
                    <w14:schemeClr w14:val="tx1"/>
                  </w14:solidFill>
                </w14:textFill>
              </w:rPr>
              <w:t>3</w:t>
            </w:r>
          </w:p>
        </w:tc>
        <w:tc>
          <w:tcPr>
            <w:tcW w:w="1134"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秘书</w:t>
            </w:r>
          </w:p>
        </w:tc>
        <w:tc>
          <w:tcPr>
            <w:tcW w:w="1417"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田文静</w:t>
            </w:r>
          </w:p>
        </w:tc>
        <w:tc>
          <w:tcPr>
            <w:tcW w:w="3685"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食品与药品学院</w:t>
            </w:r>
          </w:p>
        </w:tc>
        <w:tc>
          <w:tcPr>
            <w:tcW w:w="1701"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助教</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ascii="宋体" w:hAnsi="宋体" w:cs="宋体"/>
                <w:color w:val="000000" w:themeColor="text1"/>
                <w:szCs w:val="24"/>
                <w14:textFill>
                  <w14:solidFill>
                    <w14:schemeClr w14:val="tx1"/>
                  </w14:solidFill>
                </w14:textFill>
              </w:rPr>
              <w:t>4</w:t>
            </w:r>
          </w:p>
        </w:tc>
        <w:tc>
          <w:tcPr>
            <w:tcW w:w="1134" w:type="dxa"/>
            <w:vMerge w:val="restart"/>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参</w:t>
            </w:r>
          </w:p>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编</w:t>
            </w:r>
          </w:p>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人</w:t>
            </w:r>
          </w:p>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员</w:t>
            </w:r>
          </w:p>
        </w:tc>
        <w:tc>
          <w:tcPr>
            <w:tcW w:w="1417" w:type="dxa"/>
            <w:shd w:val="clear" w:color="auto" w:fill="auto"/>
            <w:vAlign w:val="center"/>
          </w:tcPr>
          <w:p>
            <w:pPr>
              <w:spacing w:line="240" w:lineRule="atLeast"/>
              <w:ind w:firstLine="240" w:firstLineChars="100"/>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宋煜伟</w:t>
            </w:r>
          </w:p>
        </w:tc>
        <w:tc>
          <w:tcPr>
            <w:tcW w:w="3685"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食品与药品学院</w:t>
            </w:r>
          </w:p>
        </w:tc>
        <w:tc>
          <w:tcPr>
            <w:tcW w:w="1701"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ascii="宋体" w:hAnsi="宋体" w:cs="宋体"/>
                <w:color w:val="000000" w:themeColor="text1"/>
                <w:szCs w:val="24"/>
                <w14:textFill>
                  <w14:solidFill>
                    <w14:schemeClr w14:val="tx1"/>
                  </w14:solidFill>
                </w14:textFill>
              </w:rPr>
              <w:t>5</w:t>
            </w:r>
          </w:p>
        </w:tc>
        <w:tc>
          <w:tcPr>
            <w:tcW w:w="1134" w:type="dxa"/>
            <w:vMerge w:val="continue"/>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p>
        </w:tc>
        <w:tc>
          <w:tcPr>
            <w:tcW w:w="1417"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管义伟</w:t>
            </w:r>
          </w:p>
        </w:tc>
        <w:tc>
          <w:tcPr>
            <w:tcW w:w="3685" w:type="dxa"/>
            <w:shd w:val="clear" w:color="auto" w:fill="auto"/>
            <w:vAlign w:val="center"/>
          </w:tcPr>
          <w:p>
            <w:pPr>
              <w:spacing w:line="240" w:lineRule="atLeast"/>
              <w:ind w:firstLine="0" w:firstLineChars="0"/>
              <w:jc w:val="center"/>
              <w:rPr>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思想政治理论课教学部</w:t>
            </w:r>
          </w:p>
        </w:tc>
        <w:tc>
          <w:tcPr>
            <w:tcW w:w="1701" w:type="dxa"/>
            <w:shd w:val="clear" w:color="auto" w:fill="auto"/>
            <w:vAlign w:val="center"/>
          </w:tcPr>
          <w:p>
            <w:pPr>
              <w:spacing w:line="240" w:lineRule="atLeast"/>
              <w:ind w:firstLine="0" w:firstLineChars="0"/>
              <w:jc w:val="center"/>
              <w:rPr>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ascii="宋体" w:hAnsi="宋体" w:cs="宋体"/>
                <w:color w:val="000000" w:themeColor="text1"/>
                <w:szCs w:val="24"/>
                <w14:textFill>
                  <w14:solidFill>
                    <w14:schemeClr w14:val="tx1"/>
                  </w14:solidFill>
                </w14:textFill>
              </w:rPr>
              <w:t>6</w:t>
            </w:r>
          </w:p>
        </w:tc>
        <w:tc>
          <w:tcPr>
            <w:tcW w:w="1134" w:type="dxa"/>
            <w:vMerge w:val="continue"/>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p>
        </w:tc>
        <w:tc>
          <w:tcPr>
            <w:tcW w:w="1417"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谭宝国</w:t>
            </w:r>
          </w:p>
        </w:tc>
        <w:tc>
          <w:tcPr>
            <w:tcW w:w="3685" w:type="dxa"/>
            <w:shd w:val="clear" w:color="auto" w:fill="auto"/>
            <w:vAlign w:val="center"/>
          </w:tcPr>
          <w:p>
            <w:pPr>
              <w:spacing w:line="240" w:lineRule="atLeast"/>
              <w:ind w:firstLine="0" w:firstLineChars="0"/>
              <w:jc w:val="center"/>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公共基础教学部</w:t>
            </w:r>
          </w:p>
        </w:tc>
        <w:tc>
          <w:tcPr>
            <w:tcW w:w="1701" w:type="dxa"/>
            <w:shd w:val="clear" w:color="auto" w:fill="auto"/>
            <w:vAlign w:val="center"/>
          </w:tcPr>
          <w:p>
            <w:pPr>
              <w:spacing w:line="240" w:lineRule="atLeast"/>
              <w:ind w:firstLine="0" w:firstLineChars="0"/>
              <w:jc w:val="center"/>
              <w:rPr>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ascii="宋体" w:hAnsi="宋体" w:cs="宋体"/>
                <w:color w:val="000000" w:themeColor="text1"/>
                <w:szCs w:val="24"/>
                <w14:textFill>
                  <w14:solidFill>
                    <w14:schemeClr w14:val="tx1"/>
                  </w14:solidFill>
                </w14:textFill>
              </w:rPr>
              <w:t>7</w:t>
            </w:r>
          </w:p>
        </w:tc>
        <w:tc>
          <w:tcPr>
            <w:tcW w:w="1134" w:type="dxa"/>
            <w:vMerge w:val="continue"/>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p>
        </w:tc>
        <w:tc>
          <w:tcPr>
            <w:tcW w:w="1417"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王莉</w:t>
            </w:r>
          </w:p>
        </w:tc>
        <w:tc>
          <w:tcPr>
            <w:tcW w:w="3685" w:type="dxa"/>
            <w:shd w:val="clear" w:color="auto" w:fill="auto"/>
            <w:vAlign w:val="center"/>
          </w:tcPr>
          <w:p>
            <w:pPr>
              <w:spacing w:line="240" w:lineRule="atLeast"/>
              <w:ind w:firstLine="0" w:firstLineChars="0"/>
              <w:jc w:val="center"/>
              <w:rPr>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体育教学部</w:t>
            </w:r>
          </w:p>
        </w:tc>
        <w:tc>
          <w:tcPr>
            <w:tcW w:w="1701" w:type="dxa"/>
            <w:shd w:val="clear" w:color="auto" w:fill="auto"/>
            <w:vAlign w:val="center"/>
          </w:tcPr>
          <w:p>
            <w:pPr>
              <w:spacing w:line="240" w:lineRule="atLeast"/>
              <w:ind w:firstLine="0" w:firstLineChars="0"/>
              <w:jc w:val="center"/>
              <w:rPr>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ascii="宋体" w:hAnsi="宋体" w:cs="宋体"/>
                <w:color w:val="000000" w:themeColor="text1"/>
                <w:szCs w:val="24"/>
                <w14:textFill>
                  <w14:solidFill>
                    <w14:schemeClr w14:val="tx1"/>
                  </w14:solidFill>
                </w14:textFill>
              </w:rPr>
              <w:t>8</w:t>
            </w:r>
          </w:p>
        </w:tc>
        <w:tc>
          <w:tcPr>
            <w:tcW w:w="1134" w:type="dxa"/>
            <w:vMerge w:val="continue"/>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p>
        </w:tc>
        <w:tc>
          <w:tcPr>
            <w:tcW w:w="1417"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程相朝</w:t>
            </w:r>
          </w:p>
        </w:tc>
        <w:tc>
          <w:tcPr>
            <w:tcW w:w="3685" w:type="dxa"/>
            <w:shd w:val="clear" w:color="auto" w:fill="auto"/>
            <w:vAlign w:val="center"/>
          </w:tcPr>
          <w:p>
            <w:pPr>
              <w:spacing w:line="240" w:lineRule="atLeast"/>
              <w:ind w:firstLine="0" w:firstLineChars="0"/>
              <w:jc w:val="center"/>
              <w:rPr>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pacing w:val="6"/>
                <w:kern w:val="0"/>
                <w:szCs w:val="24"/>
                <w14:textFill>
                  <w14:solidFill>
                    <w14:schemeClr w14:val="tx1"/>
                  </w14:solidFill>
                </w14:textFill>
              </w:rPr>
              <w:t>宠物临床诊疗技术教研室</w:t>
            </w:r>
          </w:p>
        </w:tc>
        <w:tc>
          <w:tcPr>
            <w:tcW w:w="1701" w:type="dxa"/>
            <w:shd w:val="clear" w:color="auto" w:fill="auto"/>
            <w:vAlign w:val="center"/>
          </w:tcPr>
          <w:p>
            <w:pPr>
              <w:spacing w:line="240" w:lineRule="atLeast"/>
              <w:ind w:firstLine="0" w:firstLineChars="0"/>
              <w:jc w:val="center"/>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ascii="宋体" w:hAnsi="宋体" w:cs="宋体"/>
                <w:color w:val="000000" w:themeColor="text1"/>
                <w:szCs w:val="24"/>
                <w14:textFill>
                  <w14:solidFill>
                    <w14:schemeClr w14:val="tx1"/>
                  </w14:solidFill>
                </w14:textFill>
              </w:rPr>
              <w:t>9</w:t>
            </w:r>
          </w:p>
        </w:tc>
        <w:tc>
          <w:tcPr>
            <w:tcW w:w="1134" w:type="dxa"/>
            <w:vMerge w:val="continue"/>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p>
        </w:tc>
        <w:tc>
          <w:tcPr>
            <w:tcW w:w="1417"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张贺伟</w:t>
            </w:r>
          </w:p>
        </w:tc>
        <w:tc>
          <w:tcPr>
            <w:tcW w:w="3685"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pacing w:val="6"/>
                <w:kern w:val="0"/>
                <w:szCs w:val="24"/>
                <w14:textFill>
                  <w14:solidFill>
                    <w14:schemeClr w14:val="tx1"/>
                  </w14:solidFill>
                </w14:textFill>
              </w:rPr>
              <w:t>宠物临床诊疗技术教研室</w:t>
            </w:r>
          </w:p>
        </w:tc>
        <w:tc>
          <w:tcPr>
            <w:tcW w:w="1701"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校聘教授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10</w:t>
            </w:r>
          </w:p>
        </w:tc>
        <w:tc>
          <w:tcPr>
            <w:tcW w:w="1134" w:type="dxa"/>
            <w:vMerge w:val="continue"/>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p>
        </w:tc>
        <w:tc>
          <w:tcPr>
            <w:tcW w:w="1417"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宋敏杰</w:t>
            </w:r>
          </w:p>
        </w:tc>
        <w:tc>
          <w:tcPr>
            <w:tcW w:w="3685" w:type="dxa"/>
            <w:shd w:val="clear" w:color="auto" w:fill="auto"/>
            <w:vAlign w:val="center"/>
          </w:tcPr>
          <w:p>
            <w:pPr>
              <w:spacing w:line="240" w:lineRule="atLeast"/>
              <w:ind w:firstLine="0" w:firstLineChars="0"/>
              <w:jc w:val="center"/>
              <w:rPr>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pacing w:val="6"/>
                <w:kern w:val="0"/>
                <w:szCs w:val="24"/>
                <w14:textFill>
                  <w14:solidFill>
                    <w14:schemeClr w14:val="tx1"/>
                  </w14:solidFill>
                </w14:textFill>
              </w:rPr>
              <w:t>宠物临床诊疗技术教研室</w:t>
            </w:r>
          </w:p>
        </w:tc>
        <w:tc>
          <w:tcPr>
            <w:tcW w:w="1701" w:type="dxa"/>
            <w:shd w:val="clear" w:color="auto" w:fill="auto"/>
            <w:vAlign w:val="center"/>
          </w:tcPr>
          <w:p>
            <w:pPr>
              <w:spacing w:line="240" w:lineRule="atLeast"/>
              <w:ind w:firstLine="0" w:firstLineChars="0"/>
              <w:jc w:val="center"/>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助教</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11</w:t>
            </w:r>
          </w:p>
        </w:tc>
        <w:tc>
          <w:tcPr>
            <w:tcW w:w="1134" w:type="dxa"/>
            <w:vMerge w:val="continue"/>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p>
        </w:tc>
        <w:tc>
          <w:tcPr>
            <w:tcW w:w="1417"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刘姗姗</w:t>
            </w:r>
          </w:p>
        </w:tc>
        <w:tc>
          <w:tcPr>
            <w:tcW w:w="3685"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pacing w:val="6"/>
                <w:kern w:val="0"/>
                <w:szCs w:val="24"/>
                <w14:textFill>
                  <w14:solidFill>
                    <w14:schemeClr w14:val="tx1"/>
                  </w14:solidFill>
                </w14:textFill>
              </w:rPr>
              <w:t>宠物临床诊疗技术教研室</w:t>
            </w:r>
          </w:p>
        </w:tc>
        <w:tc>
          <w:tcPr>
            <w:tcW w:w="1701"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助教</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12</w:t>
            </w:r>
          </w:p>
        </w:tc>
        <w:tc>
          <w:tcPr>
            <w:tcW w:w="1134" w:type="dxa"/>
            <w:vMerge w:val="continue"/>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p>
        </w:tc>
        <w:tc>
          <w:tcPr>
            <w:tcW w:w="1417"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朱玲霞</w:t>
            </w:r>
          </w:p>
        </w:tc>
        <w:tc>
          <w:tcPr>
            <w:tcW w:w="3685"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洛阳宠康宠物医院</w:t>
            </w:r>
          </w:p>
        </w:tc>
        <w:tc>
          <w:tcPr>
            <w:tcW w:w="1701"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执业兽医师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50"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13</w:t>
            </w:r>
          </w:p>
        </w:tc>
        <w:tc>
          <w:tcPr>
            <w:tcW w:w="1134" w:type="dxa"/>
            <w:vMerge w:val="continue"/>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p>
        </w:tc>
        <w:tc>
          <w:tcPr>
            <w:tcW w:w="1417"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焦志辉</w:t>
            </w:r>
          </w:p>
        </w:tc>
        <w:tc>
          <w:tcPr>
            <w:tcW w:w="3685"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洛阳宠康宠物医院</w:t>
            </w:r>
          </w:p>
        </w:tc>
        <w:tc>
          <w:tcPr>
            <w:tcW w:w="1701" w:type="dxa"/>
            <w:shd w:val="clear" w:color="auto" w:fill="auto"/>
            <w:vAlign w:val="center"/>
          </w:tcPr>
          <w:p>
            <w:pPr>
              <w:spacing w:line="240" w:lineRule="atLeast"/>
              <w:ind w:firstLine="0" w:firstLineChars="0"/>
              <w:jc w:val="center"/>
              <w:rPr>
                <w:rStyle w:val="27"/>
                <w:rFonts w:ascii="宋体" w:hAnsi="宋体" w:cs="宋体"/>
                <w:color w:val="000000" w:themeColor="text1"/>
                <w:szCs w:val="24"/>
                <w14:textFill>
                  <w14:solidFill>
                    <w14:schemeClr w14:val="tx1"/>
                  </w14:solidFill>
                </w14:textFill>
              </w:rPr>
            </w:pPr>
            <w:r>
              <w:rPr>
                <w:rStyle w:val="27"/>
                <w:rFonts w:hint="eastAsia" w:ascii="宋体" w:hAnsi="宋体" w:cs="宋体"/>
                <w:color w:val="000000" w:themeColor="text1"/>
                <w:szCs w:val="24"/>
                <w14:textFill>
                  <w14:solidFill>
                    <w14:schemeClr w14:val="tx1"/>
                  </w14:solidFill>
                </w14:textFill>
              </w:rPr>
              <w:t>院长</w:t>
            </w:r>
          </w:p>
        </w:tc>
      </w:tr>
    </w:tbl>
    <w:p>
      <w:pPr>
        <w:spacing w:line="360" w:lineRule="auto"/>
        <w:ind w:firstLine="480"/>
        <w:jc w:val="center"/>
        <w:rPr>
          <w:rStyle w:val="27"/>
          <w:rFonts w:ascii="宋体" w:hAnsi="宋体" w:cs="宋体"/>
          <w:color w:val="000000" w:themeColor="text1"/>
          <w14:textFill>
            <w14:solidFill>
              <w14:schemeClr w14:val="tx1"/>
            </w14:solidFill>
          </w14:textFill>
        </w:rPr>
      </w:pPr>
    </w:p>
    <w:p>
      <w:pPr>
        <w:spacing w:line="360" w:lineRule="auto"/>
        <w:ind w:firstLine="480"/>
        <w:jc w:val="center"/>
        <w:rPr>
          <w:rStyle w:val="27"/>
          <w:rFonts w:ascii="宋体" w:hAnsi="宋体" w:cs="宋体"/>
          <w:color w:val="000000" w:themeColor="text1"/>
          <w14:textFill>
            <w14:solidFill>
              <w14:schemeClr w14:val="tx1"/>
            </w14:solidFill>
          </w14:textFill>
        </w:rPr>
      </w:pPr>
    </w:p>
    <w:p>
      <w:pPr>
        <w:ind w:firstLine="480"/>
        <w:rPr>
          <w:rFonts w:ascii="宋体" w:hAnsi="宋体" w:cs="宋体"/>
          <w:color w:val="000000" w:themeColor="text1"/>
          <w14:textFill>
            <w14:solidFill>
              <w14:schemeClr w14:val="tx1"/>
            </w14:solidFill>
          </w14:textFill>
        </w:rPr>
      </w:pPr>
    </w:p>
    <w:p>
      <w:pPr>
        <w:ind w:firstLine="640"/>
        <w:jc w:val="center"/>
        <w:rPr>
          <w:rFonts w:ascii="宋体" w:hAnsi="宋体" w:cs="宋体"/>
          <w:bCs/>
          <w:color w:val="000000" w:themeColor="text1"/>
          <w:sz w:val="32"/>
          <w:szCs w:val="32"/>
          <w14:textFill>
            <w14:solidFill>
              <w14:schemeClr w14:val="tx1"/>
            </w14:solidFill>
          </w14:textFill>
        </w:rPr>
      </w:pPr>
    </w:p>
    <w:p>
      <w:pPr>
        <w:ind w:firstLine="640"/>
        <w:jc w:val="center"/>
        <w:rPr>
          <w:rFonts w:ascii="宋体" w:hAnsi="宋体" w:cs="宋体"/>
          <w:bCs/>
          <w:color w:val="000000" w:themeColor="text1"/>
          <w:sz w:val="32"/>
          <w:szCs w:val="32"/>
          <w14:textFill>
            <w14:solidFill>
              <w14:schemeClr w14:val="tx1"/>
            </w14:solidFill>
          </w14:textFill>
        </w:rPr>
      </w:pPr>
    </w:p>
    <w:p>
      <w:pPr>
        <w:ind w:firstLine="640"/>
        <w:jc w:val="center"/>
        <w:rPr>
          <w:rFonts w:ascii="宋体" w:hAnsi="宋体" w:cs="宋体"/>
          <w:bCs/>
          <w:color w:val="000000" w:themeColor="text1"/>
          <w:sz w:val="32"/>
          <w:szCs w:val="32"/>
          <w14:textFill>
            <w14:solidFill>
              <w14:schemeClr w14:val="tx1"/>
            </w14:solidFill>
          </w14:textFill>
        </w:rPr>
      </w:pPr>
    </w:p>
    <w:p>
      <w:pPr>
        <w:ind w:firstLine="640"/>
        <w:jc w:val="center"/>
        <w:rPr>
          <w:rFonts w:ascii="宋体" w:hAnsi="宋体" w:cs="宋体"/>
          <w:bCs/>
          <w:color w:val="000000" w:themeColor="text1"/>
          <w:sz w:val="32"/>
          <w:szCs w:val="32"/>
          <w14:textFill>
            <w14:solidFill>
              <w14:schemeClr w14:val="tx1"/>
            </w14:solidFill>
          </w14:textFill>
        </w:rPr>
      </w:pPr>
    </w:p>
    <w:p>
      <w:pPr>
        <w:ind w:firstLine="640"/>
        <w:jc w:val="center"/>
        <w:rPr>
          <w:rFonts w:ascii="宋体" w:hAnsi="宋体" w:cs="宋体"/>
          <w:bCs/>
          <w:color w:val="000000" w:themeColor="text1"/>
          <w:sz w:val="32"/>
          <w:szCs w:val="32"/>
          <w14:textFill>
            <w14:solidFill>
              <w14:schemeClr w14:val="tx1"/>
            </w14:solidFill>
          </w14:textFill>
        </w:rPr>
      </w:pPr>
    </w:p>
    <w:p>
      <w:pPr>
        <w:ind w:firstLine="640"/>
        <w:jc w:val="center"/>
        <w:rPr>
          <w:rFonts w:ascii="宋体" w:hAnsi="宋体" w:cs="宋体"/>
          <w:bCs/>
          <w:color w:val="000000" w:themeColor="text1"/>
          <w:sz w:val="32"/>
          <w:szCs w:val="32"/>
          <w14:textFill>
            <w14:solidFill>
              <w14:schemeClr w14:val="tx1"/>
            </w14:solidFill>
          </w14:textFill>
        </w:rPr>
      </w:pPr>
    </w:p>
    <w:p>
      <w:pPr>
        <w:ind w:firstLine="640"/>
        <w:jc w:val="center"/>
        <w:rPr>
          <w:rFonts w:ascii="宋体" w:hAnsi="宋体" w:cs="宋体"/>
          <w:bCs/>
          <w:color w:val="000000" w:themeColor="text1"/>
          <w:sz w:val="32"/>
          <w:szCs w:val="32"/>
          <w14:textFill>
            <w14:solidFill>
              <w14:schemeClr w14:val="tx1"/>
            </w14:solidFill>
          </w14:textFill>
        </w:rPr>
      </w:pPr>
    </w:p>
    <w:p>
      <w:pPr>
        <w:pStyle w:val="2"/>
        <w:spacing w:before="156" w:after="156"/>
        <w:jc w:val="center"/>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2019级宠物临床诊疗技术专业</w:t>
      </w:r>
      <w:bookmarkEnd w:id="0"/>
      <w:r>
        <w:rPr>
          <w:rFonts w:hint="eastAsia" w:ascii="宋体" w:hAnsi="宋体" w:cs="宋体"/>
          <w:color w:val="000000" w:themeColor="text1"/>
          <w:sz w:val="32"/>
          <w:szCs w:val="32"/>
          <w14:textFill>
            <w14:solidFill>
              <w14:schemeClr w14:val="tx1"/>
            </w14:solidFill>
          </w14:textFill>
        </w:rPr>
        <w:t>人才培养方案</w:t>
      </w:r>
    </w:p>
    <w:p>
      <w:pPr>
        <w:pStyle w:val="2"/>
        <w:spacing w:before="156" w:after="156"/>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一、专业名称、代码及入学要求 </w:t>
      </w:r>
    </w:p>
    <w:p>
      <w:pPr>
        <w:pStyle w:val="3"/>
        <w:ind w:firstLine="480"/>
        <w:rPr>
          <w:rFonts w:ascii="宋体" w:hAnsi="宋体"/>
          <w:bCs w:val="0"/>
          <w:color w:val="000000" w:themeColor="text1"/>
          <w14:textFill>
            <w14:solidFill>
              <w14:schemeClr w14:val="tx1"/>
            </w14:solidFill>
          </w14:textFill>
        </w:rPr>
      </w:pPr>
      <w:r>
        <w:rPr>
          <w:rFonts w:hint="eastAsia" w:ascii="宋体" w:hAnsi="宋体"/>
          <w:bCs w:val="0"/>
          <w:color w:val="000000" w:themeColor="text1"/>
          <w14:textFill>
            <w14:solidFill>
              <w14:schemeClr w14:val="tx1"/>
            </w14:solidFill>
          </w14:textFill>
        </w:rPr>
        <w:t>专业名称：宠物临床诊疗技术</w:t>
      </w:r>
    </w:p>
    <w:p>
      <w:pPr>
        <w:pStyle w:val="3"/>
        <w:ind w:firstLine="480"/>
        <w:rPr>
          <w:rFonts w:ascii="宋体" w:hAnsi="宋体"/>
          <w:bCs w:val="0"/>
          <w:color w:val="000000" w:themeColor="text1"/>
          <w14:textFill>
            <w14:solidFill>
              <w14:schemeClr w14:val="tx1"/>
            </w14:solidFill>
          </w14:textFill>
        </w:rPr>
      </w:pPr>
      <w:r>
        <w:rPr>
          <w:rFonts w:hint="eastAsia" w:ascii="宋体" w:hAnsi="宋体"/>
          <w:bCs w:val="0"/>
          <w:color w:val="000000" w:themeColor="text1"/>
          <w14:textFill>
            <w14:solidFill>
              <w14:schemeClr w14:val="tx1"/>
            </w14:solidFill>
          </w14:textFill>
        </w:rPr>
        <w:t>专业代码：510315</w:t>
      </w:r>
    </w:p>
    <w:p>
      <w:pPr>
        <w:pStyle w:val="2"/>
        <w:spacing w:before="156" w:after="156"/>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二、入学要求：</w:t>
      </w:r>
    </w:p>
    <w:p>
      <w:pPr>
        <w:pStyle w:val="3"/>
        <w:ind w:firstLine="480"/>
        <w:rPr>
          <w:rFonts w:ascii="宋体" w:hAnsi="宋体"/>
          <w:bCs w:val="0"/>
          <w:color w:val="000000" w:themeColor="text1"/>
          <w14:textFill>
            <w14:solidFill>
              <w14:schemeClr w14:val="tx1"/>
            </w14:solidFill>
          </w14:textFill>
        </w:rPr>
      </w:pPr>
      <w:r>
        <w:rPr>
          <w:rFonts w:hint="eastAsia" w:ascii="宋体" w:hAnsi="宋体"/>
          <w:bCs w:val="0"/>
          <w:color w:val="000000" w:themeColor="text1"/>
          <w14:textFill>
            <w14:solidFill>
              <w14:schemeClr w14:val="tx1"/>
            </w14:solidFill>
          </w14:textFill>
        </w:rPr>
        <w:t>普通高级中学毕业，中等专业学校毕业或具备同等学力</w:t>
      </w:r>
    </w:p>
    <w:p>
      <w:pPr>
        <w:pStyle w:val="2"/>
        <w:tabs>
          <w:tab w:val="left" w:pos="6093"/>
        </w:tabs>
        <w:spacing w:before="156" w:after="156"/>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三、修业年限</w:t>
      </w:r>
      <w:r>
        <w:rPr>
          <w:rFonts w:hint="eastAsia" w:ascii="宋体" w:hAnsi="宋体" w:cs="宋体"/>
          <w:color w:val="000000" w:themeColor="text1"/>
          <w14:textFill>
            <w14:solidFill>
              <w14:schemeClr w14:val="tx1"/>
            </w14:solidFill>
          </w14:textFill>
        </w:rPr>
        <w:tab/>
      </w:r>
    </w:p>
    <w:p>
      <w:pPr>
        <w:pStyle w:val="3"/>
        <w:ind w:firstLine="480"/>
        <w:rPr>
          <w:rFonts w:ascii="宋体" w:hAnsi="宋体"/>
          <w:bCs w:val="0"/>
          <w:color w:val="000000" w:themeColor="text1"/>
          <w14:textFill>
            <w14:solidFill>
              <w14:schemeClr w14:val="tx1"/>
            </w14:solidFill>
          </w14:textFill>
        </w:rPr>
      </w:pPr>
      <w:r>
        <w:rPr>
          <w:rFonts w:hint="eastAsia" w:ascii="宋体" w:hAnsi="宋体"/>
          <w:bCs w:val="0"/>
          <w:color w:val="000000" w:themeColor="text1"/>
          <w14:textFill>
            <w14:solidFill>
              <w14:schemeClr w14:val="tx1"/>
            </w14:solidFill>
          </w14:textFill>
        </w:rPr>
        <w:t>学制：三年</w:t>
      </w:r>
    </w:p>
    <w:p>
      <w:pPr>
        <w:pStyle w:val="3"/>
        <w:ind w:firstLine="480"/>
        <w:rPr>
          <w:rFonts w:ascii="宋体" w:hAnsi="宋体"/>
          <w:bCs w:val="0"/>
          <w:color w:val="000000" w:themeColor="text1"/>
          <w14:textFill>
            <w14:solidFill>
              <w14:schemeClr w14:val="tx1"/>
            </w14:solidFill>
          </w14:textFill>
        </w:rPr>
      </w:pPr>
      <w:r>
        <w:rPr>
          <w:rFonts w:hint="eastAsia" w:ascii="宋体" w:hAnsi="宋体"/>
          <w:bCs w:val="0"/>
          <w:color w:val="000000" w:themeColor="text1"/>
          <w14:textFill>
            <w14:solidFill>
              <w14:schemeClr w14:val="tx1"/>
            </w14:solidFill>
          </w14:textFill>
        </w:rPr>
        <w:t>学历：大专</w:t>
      </w:r>
    </w:p>
    <w:p>
      <w:pPr>
        <w:pStyle w:val="2"/>
        <w:spacing w:before="156" w:after="156"/>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四、职业面向与就业岗位</w:t>
      </w:r>
    </w:p>
    <w:tbl>
      <w:tblPr>
        <w:tblStyle w:val="12"/>
        <w:tblpPr w:leftFromText="180" w:rightFromText="180" w:vertAnchor="text" w:horzAnchor="margin" w:tblpXSpec="center" w:tblpY="67"/>
        <w:tblW w:w="86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58"/>
        <w:gridCol w:w="1158"/>
        <w:gridCol w:w="1220"/>
        <w:gridCol w:w="1528"/>
        <w:gridCol w:w="1447"/>
        <w:gridCol w:w="17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0" w:hRule="atLeast"/>
          <w:jc w:val="center"/>
        </w:trPr>
        <w:tc>
          <w:tcPr>
            <w:tcW w:w="1558" w:type="dxa"/>
            <w:vAlign w:val="center"/>
          </w:tcPr>
          <w:p>
            <w:pPr>
              <w:spacing w:line="240" w:lineRule="exact"/>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所属专业大类（代码）</w:t>
            </w:r>
          </w:p>
        </w:tc>
        <w:tc>
          <w:tcPr>
            <w:tcW w:w="1158" w:type="dxa"/>
            <w:vAlign w:val="center"/>
          </w:tcPr>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所属专业类</w:t>
            </w:r>
          </w:p>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（代码）</w:t>
            </w:r>
          </w:p>
        </w:tc>
        <w:tc>
          <w:tcPr>
            <w:tcW w:w="1220" w:type="dxa"/>
            <w:vAlign w:val="center"/>
          </w:tcPr>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对应行业</w:t>
            </w:r>
          </w:p>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（代码）</w:t>
            </w:r>
          </w:p>
        </w:tc>
        <w:tc>
          <w:tcPr>
            <w:tcW w:w="1528" w:type="dxa"/>
            <w:vAlign w:val="center"/>
          </w:tcPr>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主要职业类别</w:t>
            </w:r>
          </w:p>
          <w:p>
            <w:pPr>
              <w:spacing w:line="240" w:lineRule="exact"/>
              <w:ind w:firstLineChars="111"/>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（代码）</w:t>
            </w:r>
          </w:p>
        </w:tc>
        <w:tc>
          <w:tcPr>
            <w:tcW w:w="1447" w:type="dxa"/>
            <w:vAlign w:val="center"/>
          </w:tcPr>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主要岗位类别（或技术领域）</w:t>
            </w:r>
          </w:p>
        </w:tc>
        <w:tc>
          <w:tcPr>
            <w:tcW w:w="1786" w:type="dxa"/>
            <w:vAlign w:val="center"/>
          </w:tcPr>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0" w:hRule="atLeast"/>
          <w:jc w:val="center"/>
        </w:trPr>
        <w:tc>
          <w:tcPr>
            <w:tcW w:w="1558" w:type="dxa"/>
            <w:vAlign w:val="center"/>
          </w:tcPr>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农林牧渔大类（51）</w:t>
            </w:r>
          </w:p>
        </w:tc>
        <w:tc>
          <w:tcPr>
            <w:tcW w:w="1158" w:type="dxa"/>
            <w:vAlign w:val="center"/>
          </w:tcPr>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畜牧业类（5103）</w:t>
            </w:r>
          </w:p>
        </w:tc>
        <w:tc>
          <w:tcPr>
            <w:tcW w:w="1220" w:type="dxa"/>
            <w:vAlign w:val="center"/>
          </w:tcPr>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畜牧专业及辅助性活动（053）</w:t>
            </w:r>
          </w:p>
        </w:tc>
        <w:tc>
          <w:tcPr>
            <w:tcW w:w="1528" w:type="dxa"/>
            <w:vAlign w:val="center"/>
          </w:tcPr>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兽医</w:t>
            </w:r>
          </w:p>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（2-03-05-01）</w:t>
            </w:r>
          </w:p>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动物疫病防治员（5-03-05-01）</w:t>
            </w:r>
          </w:p>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动物疫病检疫员（5-03-05-03）</w:t>
            </w:r>
          </w:p>
        </w:tc>
        <w:tc>
          <w:tcPr>
            <w:tcW w:w="1447" w:type="dxa"/>
            <w:vAlign w:val="center"/>
          </w:tcPr>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执业兽医师</w:t>
            </w:r>
          </w:p>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宠物美容师</w:t>
            </w:r>
          </w:p>
        </w:tc>
        <w:tc>
          <w:tcPr>
            <w:tcW w:w="1786" w:type="dxa"/>
            <w:vAlign w:val="center"/>
          </w:tcPr>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执业兽医师资格证</w:t>
            </w:r>
          </w:p>
          <w:p>
            <w:pPr>
              <w:spacing w:line="240" w:lineRule="exact"/>
              <w:ind w:firstLine="0" w:firstLineChars="0"/>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宠物美容师证</w:t>
            </w:r>
          </w:p>
        </w:tc>
      </w:tr>
    </w:tbl>
    <w:p>
      <w:pPr>
        <w:pStyle w:val="2"/>
        <w:spacing w:before="156" w:after="156"/>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五、培养目标与培养规格</w:t>
      </w:r>
    </w:p>
    <w:p>
      <w:pPr>
        <w:pStyle w:val="3"/>
        <w:ind w:firstLine="48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（一）培养目标</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专业培养理想信念坚定，德、智、体、美、劳全面发展，具有一定的科学文化水平，良好的人文素养、职业道德和创新意识，精益求精的工匠精神，较强的就业能力和可持续发展的能力；掌握本专业知识和技术技能，面向宠物医生、宠物美容师、小动物影像医师、动物疫病防治员与检疫员等职业群，能从事宠物疾病的诊断与防治、宠物疾病化验及检测、宠物美容等工作的高素质技术技能人才。</w:t>
      </w:r>
    </w:p>
    <w:p>
      <w:pPr>
        <w:pStyle w:val="3"/>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（二）培养规格</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本专业毕业生应在素质、知识和能力等方面达到以下要求：</w:t>
      </w:r>
    </w:p>
    <w:p>
      <w:pPr>
        <w:ind w:firstLine="480"/>
        <w:rPr>
          <w:rFonts w:ascii="宋体" w:hAnsi="宋体" w:cs="宋体"/>
          <w:color w:val="000000" w:themeColor="text1"/>
          <w14:textFill>
            <w14:solidFill>
              <w14:schemeClr w14:val="tx1"/>
            </w14:solidFill>
          </w14:textFill>
        </w:rPr>
      </w:pPr>
      <w:r>
        <w:rPr>
          <w:color w:val="000000" w:themeColor="text1"/>
          <w:szCs w:val="24"/>
          <w14:textFill>
            <w14:solidFill>
              <w14:schemeClr w14:val="tx1"/>
            </w14:solidFill>
          </w14:textFill>
        </w:rPr>
        <w:t>1．</w:t>
      </w:r>
      <w:r>
        <w:rPr>
          <w:rFonts w:hint="eastAsia" w:ascii="宋体" w:hAnsi="宋体" w:cs="宋体"/>
          <w:color w:val="000000" w:themeColor="text1"/>
          <w14:textFill>
            <w14:solidFill>
              <w14:schemeClr w14:val="tx1"/>
            </w14:solidFill>
          </w14:textFill>
        </w:rPr>
        <w:t>素质</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（1）坚定拥护中国共产党领导和我国社会主义制度，在习近平新时代中国特色主义思想的指引下，践行社会主义核心价值观，具有深厚的爱国情感和中华民族自豪感。</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（2）崇尚宪法、遵法守纪、崇德向善、诚实守信、尊重生命、热爱劳动，履行道德准则和行为规范，具有社会责任感和社会参与意识。</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（3）具有质量意识、环保意识、安全意识、信息素养、工匠精神、创新思维。</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（4）勇于奋斗、乐观向上，具有自我管理能力、职业生涯规划意识，有较强的集体意识和团队合作精神。</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（5）具有健康的体魄、心理和健全的人格，掌握基本运动知识和1-2项运动技能，养成良好的健身与卫生习惯，以及良好的行为习惯。</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（6）具有一定的审美和人文素质，能够形成1-2项艺术特长或爱好。</w:t>
      </w:r>
    </w:p>
    <w:p>
      <w:pPr>
        <w:ind w:firstLine="480"/>
        <w:rPr>
          <w:rFonts w:ascii="宋体" w:hAnsi="宋体" w:cs="宋体"/>
          <w:color w:val="000000" w:themeColor="text1"/>
          <w14:textFill>
            <w14:solidFill>
              <w14:schemeClr w14:val="tx1"/>
            </w14:solidFill>
          </w14:textFill>
        </w:rPr>
      </w:pPr>
      <w:r>
        <w:rPr>
          <w:rFonts w:hint="eastAsia"/>
          <w:color w:val="000000" w:themeColor="text1"/>
          <w:szCs w:val="24"/>
          <w14:textFill>
            <w14:solidFill>
              <w14:schemeClr w14:val="tx1"/>
            </w14:solidFill>
          </w14:textFill>
        </w:rPr>
        <w:t>2</w:t>
      </w:r>
      <w:r>
        <w:rPr>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知识</w:t>
      </w:r>
    </w:p>
    <w:p>
      <w:pPr>
        <w:ind w:firstLine="480"/>
        <w:rPr>
          <w:rFonts w:ascii="宋体" w:hAnsi="宋体" w:cs="宋体"/>
        </w:rPr>
      </w:pPr>
      <w:r>
        <w:rPr>
          <w:rFonts w:hint="eastAsia" w:ascii="宋体" w:hAnsi="宋体" w:cs="宋体"/>
        </w:rPr>
        <w:t>（1）掌握必备的思想政治理论、科学文化基础知识和中华优秀传统文化知识。</w:t>
      </w:r>
    </w:p>
    <w:p>
      <w:pPr>
        <w:ind w:firstLine="480"/>
        <w:rPr>
          <w:rFonts w:ascii="宋体" w:hAnsi="宋体" w:cs="宋体"/>
        </w:rPr>
      </w:pPr>
      <w:r>
        <w:rPr>
          <w:rFonts w:hint="eastAsia" w:ascii="宋体" w:hAnsi="宋体" w:cs="宋体"/>
        </w:rPr>
        <w:t>（2）熟悉与本专业相关的法律法规以及环境保护、安全消防等知识。</w:t>
      </w:r>
    </w:p>
    <w:p>
      <w:pPr>
        <w:ind w:firstLine="480"/>
        <w:rPr>
          <w:rFonts w:ascii="宋体" w:hAnsi="宋体" w:cs="宋体"/>
        </w:rPr>
      </w:pPr>
      <w:r>
        <w:rPr>
          <w:rFonts w:hint="eastAsia" w:ascii="宋体" w:hAnsi="宋体" w:cs="宋体"/>
        </w:rPr>
        <w:t>（3）掌握宠物医学的基本理论、基本知识。</w:t>
      </w:r>
    </w:p>
    <w:p>
      <w:pPr>
        <w:ind w:firstLine="480"/>
        <w:rPr>
          <w:rFonts w:ascii="宋体" w:hAnsi="宋体" w:cs="宋体"/>
        </w:rPr>
      </w:pPr>
      <w:r>
        <w:rPr>
          <w:rFonts w:hint="eastAsia" w:ascii="宋体" w:hAnsi="宋体" w:cs="宋体"/>
        </w:rPr>
        <w:t>（4）</w:t>
      </w:r>
      <w:r>
        <w:rPr>
          <w:rFonts w:hint="eastAsia" w:ascii="宋体" w:hAnsi="宋体" w:cs="宋体"/>
          <w:lang w:val="en-US" w:eastAsia="zh-CN"/>
        </w:rPr>
        <w:t>通过学习宠物解剖与生理学、动物生物化学、宠物药理学等科目，</w:t>
      </w:r>
      <w:r>
        <w:rPr>
          <w:rFonts w:hint="eastAsia" w:ascii="宋体" w:hAnsi="宋体" w:cs="宋体"/>
        </w:rPr>
        <w:t>掌握宠物正常解剖结构及生理、生化功能</w:t>
      </w:r>
      <w:r>
        <w:rPr>
          <w:rFonts w:hint="eastAsia" w:ascii="宋体" w:hAnsi="宋体" w:cs="宋体"/>
          <w:lang w:eastAsia="zh-CN"/>
        </w:rPr>
        <w:t>，</w:t>
      </w:r>
      <w:r>
        <w:rPr>
          <w:rFonts w:hint="eastAsia" w:ascii="宋体" w:hAnsi="宋体" w:cs="宋体"/>
          <w:lang w:val="en-US" w:eastAsia="zh-CN"/>
        </w:rPr>
        <w:t>宠物疾病发展、宠物疾病用药治疗方法以及注意事项等</w:t>
      </w:r>
      <w:r>
        <w:rPr>
          <w:rFonts w:hint="eastAsia" w:ascii="宋体" w:hAnsi="宋体" w:cs="宋体"/>
        </w:rPr>
        <w:t>。</w:t>
      </w:r>
    </w:p>
    <w:p>
      <w:pPr>
        <w:ind w:firstLine="480"/>
        <w:rPr>
          <w:rFonts w:ascii="宋体" w:hAnsi="宋体" w:cs="宋体"/>
        </w:rPr>
      </w:pPr>
      <w:r>
        <w:rPr>
          <w:rFonts w:hint="eastAsia" w:ascii="宋体" w:hAnsi="宋体" w:cs="宋体"/>
        </w:rPr>
        <w:t>（5）</w:t>
      </w:r>
      <w:r>
        <w:rPr>
          <w:rFonts w:hint="eastAsia" w:ascii="宋体" w:hAnsi="宋体" w:cs="宋体"/>
          <w:lang w:val="en-US" w:eastAsia="zh-CN"/>
        </w:rPr>
        <w:t>通过宠物病理学的学习，</w:t>
      </w:r>
      <w:r>
        <w:rPr>
          <w:rFonts w:hint="eastAsia" w:ascii="宋体" w:hAnsi="宋体" w:cs="宋体"/>
        </w:rPr>
        <w:t>掌握病理情况下动物机体结构功能的改变；掌握宠物致病因素、疾病发生、发展和转归的规律。</w:t>
      </w:r>
    </w:p>
    <w:p>
      <w:pPr>
        <w:ind w:firstLine="480"/>
        <w:rPr>
          <w:rFonts w:ascii="宋体" w:hAnsi="宋体" w:cs="宋体"/>
        </w:rPr>
      </w:pPr>
      <w:r>
        <w:rPr>
          <w:rFonts w:hint="eastAsia" w:ascii="宋体" w:hAnsi="宋体" w:cs="宋体"/>
        </w:rPr>
        <w:t>（6）</w:t>
      </w:r>
      <w:r>
        <w:rPr>
          <w:rFonts w:hint="eastAsia" w:ascii="宋体" w:hAnsi="宋体" w:cs="宋体"/>
          <w:lang w:val="en-US" w:eastAsia="zh-CN"/>
        </w:rPr>
        <w:t>掌握专业相关宠物内科病、宠物外科与产科病、宠物传染病以及动物微生物与免疫学等基本知识</w:t>
      </w:r>
      <w:r>
        <w:rPr>
          <w:rFonts w:hint="eastAsia" w:ascii="宋体" w:hAnsi="宋体" w:cs="宋体"/>
        </w:rPr>
        <w:t>。</w:t>
      </w:r>
    </w:p>
    <w:p>
      <w:pPr>
        <w:ind w:firstLine="480"/>
        <w:rPr>
          <w:rFonts w:ascii="宋体" w:hAnsi="宋体" w:cs="宋体"/>
        </w:rPr>
      </w:pPr>
      <w:r>
        <w:rPr>
          <w:rFonts w:hint="eastAsia" w:ascii="宋体" w:hAnsi="宋体" w:cs="宋体"/>
        </w:rPr>
        <w:t>（7）熟悉宠物</w:t>
      </w:r>
      <w:r>
        <w:rPr>
          <w:rFonts w:hint="eastAsia" w:ascii="宋体" w:hAnsi="宋体" w:cs="宋体"/>
          <w:lang w:val="en-US" w:eastAsia="zh-CN"/>
        </w:rPr>
        <w:t>美容、宠物驯导等</w:t>
      </w:r>
      <w:r>
        <w:rPr>
          <w:rFonts w:hint="eastAsia" w:ascii="宋体" w:hAnsi="宋体" w:cs="宋体"/>
        </w:rPr>
        <w:t>基础理论知识。</w:t>
      </w:r>
    </w:p>
    <w:p>
      <w:pPr>
        <w:ind w:firstLine="480"/>
        <w:rPr>
          <w:rFonts w:ascii="宋体" w:hAnsi="宋体" w:cs="宋体"/>
        </w:rPr>
      </w:pPr>
      <w:r>
        <w:rPr>
          <w:rFonts w:hint="eastAsia" w:ascii="宋体" w:hAnsi="宋体" w:cs="宋体"/>
        </w:rPr>
        <w:t>（8）了解宠物医院管理理论知识</w:t>
      </w:r>
      <w:r>
        <w:rPr>
          <w:rFonts w:hint="eastAsia" w:ascii="宋体" w:hAnsi="宋体" w:cs="宋体"/>
          <w:lang w:eastAsia="zh-CN"/>
        </w:rPr>
        <w:t>，</w:t>
      </w:r>
      <w:r>
        <w:rPr>
          <w:rFonts w:hint="eastAsia" w:ascii="宋体" w:hAnsi="宋体" w:cs="宋体"/>
          <w:lang w:val="en-US" w:eastAsia="zh-CN"/>
        </w:rPr>
        <w:t>掌握宠物疾病临床诊疗技术、宠物医院实务等课程理论知识</w:t>
      </w:r>
      <w:r>
        <w:rPr>
          <w:rFonts w:hint="eastAsia" w:ascii="宋体" w:hAnsi="宋体" w:cs="宋体"/>
        </w:rPr>
        <w:t>。</w:t>
      </w:r>
    </w:p>
    <w:p>
      <w:pPr>
        <w:ind w:firstLine="480"/>
        <w:rPr>
          <w:rFonts w:ascii="宋体" w:hAnsi="宋体" w:cs="宋体"/>
          <w:color w:val="000000" w:themeColor="text1"/>
          <w14:textFill>
            <w14:solidFill>
              <w14:schemeClr w14:val="tx1"/>
            </w14:solidFill>
          </w14:textFill>
        </w:rPr>
      </w:pPr>
      <w:r>
        <w:rPr>
          <w:rFonts w:hint="eastAsia" w:ascii="宋体" w:hAnsi="宋体" w:cs="宋体"/>
        </w:rPr>
        <w:t>（9）了解宠物产品市场营销的基础理论知识。</w:t>
      </w:r>
    </w:p>
    <w:p>
      <w:pPr>
        <w:ind w:firstLine="480"/>
        <w:rPr>
          <w:rFonts w:ascii="宋体" w:hAnsi="宋体" w:cs="宋体"/>
          <w:color w:val="000000" w:themeColor="text1"/>
          <w14:textFill>
            <w14:solidFill>
              <w14:schemeClr w14:val="tx1"/>
            </w14:solidFill>
          </w14:textFill>
        </w:rPr>
      </w:pPr>
      <w:r>
        <w:rPr>
          <w:rFonts w:hint="eastAsia"/>
          <w:color w:val="000000" w:themeColor="text1"/>
          <w:szCs w:val="24"/>
          <w14:textFill>
            <w14:solidFill>
              <w14:schemeClr w14:val="tx1"/>
            </w14:solidFill>
          </w14:textFill>
        </w:rPr>
        <w:t>3</w:t>
      </w:r>
      <w:r>
        <w:rPr>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能力</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（1）具有探究学习、终身学习、分析问题和解决问题的能力。</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（2）具有良好的语言、文字表达能力和沟通能力。</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（3）具有一定的信息加工能力和信息技术应用能力。</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（4）能用现代先进的动物疾病诊疗技术，科学分析疾病的病因、发病机制、预后及转归，具有宠物疾病诊断和治疗能力。</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（5）具备宠物疾病临床检查、实验室检查、影像检查与诊断的能力。</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（6）具有宠物卫生防疫的技能。</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（7）能正确使用药物及常规医疗器械进行宠物疾病诊治。  </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（8）能用宠物医学、生物科学以及自然科学中相关技术解决相关简单问题。</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（9）基本具备宠物诊疗企业经营管理和自主创业能力。</w:t>
      </w:r>
    </w:p>
    <w:p>
      <w:pPr>
        <w:pStyle w:val="2"/>
        <w:spacing w:before="156" w:after="156"/>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六、课程设置</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本专业主要包括公共基础课程和专业课程。</w:t>
      </w:r>
    </w:p>
    <w:p>
      <w:pPr>
        <w:pStyle w:val="3"/>
        <w:ind w:firstLine="48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（一）公共基础课程。</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公共基础课程包括公共基础必修课</w:t>
      </w:r>
      <w:r>
        <w:rPr>
          <w:rFonts w:hint="eastAsia" w:ascii="宋体" w:hAnsi="宋体" w:cs="宋体"/>
          <w:color w:val="000000" w:themeColor="text1"/>
          <w:szCs w:val="24"/>
          <w14:textFill>
            <w14:solidFill>
              <w14:schemeClr w14:val="tx1"/>
            </w14:solidFill>
          </w14:textFill>
        </w:rPr>
        <w:t>和公共基础选修课。</w:t>
      </w:r>
    </w:p>
    <w:p>
      <w:pPr>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公共基础必修课共12门，合计41学分。主要课程有：思想政治理论课（包括：思想道德修养与法律基础、毛泽东思想与中国特色社会主义理论体系概论、形势与政策）、中国传统文化、高职英语、体育与劳动、信息技术基础、军事理论、军事训练、大学生职业发展与就业指导、大学生创新创业基础、心理健康教育。</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主要公共基础课程简介如下：</w:t>
      </w:r>
    </w:p>
    <w:p>
      <w:pPr>
        <w:spacing w:line="480" w:lineRule="exact"/>
        <w:ind w:firstLine="480"/>
        <w:rPr>
          <w:rFonts w:ascii="宋体" w:hAnsi="宋体" w:cs="宋体"/>
          <w:color w:val="000000" w:themeColor="text1"/>
          <w:szCs w:val="24"/>
          <w14:textFill>
            <w14:solidFill>
              <w14:schemeClr w14:val="tx1"/>
            </w14:solidFill>
          </w14:textFill>
        </w:rPr>
      </w:pPr>
      <w:r>
        <w:rPr>
          <w:color w:val="000000" w:themeColor="text1"/>
          <w:szCs w:val="24"/>
          <w14:textFill>
            <w14:solidFill>
              <w14:schemeClr w14:val="tx1"/>
            </w14:solidFill>
          </w14:textFill>
        </w:rPr>
        <w:t>1．</w:t>
      </w:r>
      <w:r>
        <w:rPr>
          <w:rFonts w:hint="eastAsia" w:ascii="宋体" w:hAnsi="宋体" w:cs="宋体"/>
          <w:color w:val="000000" w:themeColor="text1"/>
          <w:szCs w:val="24"/>
          <w14:textFill>
            <w14:solidFill>
              <w14:schemeClr w14:val="tx1"/>
            </w14:solidFill>
          </w14:textFill>
        </w:rPr>
        <w:t>思想道德修养与法律基础</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第一学期开设，共54学时，其中理论48学时，实践6学时。</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rPr>
          <w:rFonts w:ascii="宋体" w:hAnsi="宋体" w:cs="宋体"/>
          <w:b/>
          <w:color w:val="000000" w:themeColor="text1"/>
          <w:szCs w:val="24"/>
          <w14:textFill>
            <w14:solidFill>
              <w14:schemeClr w14:val="tx1"/>
            </w14:solidFill>
          </w14:textFill>
        </w:rPr>
      </w:pPr>
      <w:r>
        <w:rPr>
          <w:color w:val="000000" w:themeColor="text1"/>
          <w:szCs w:val="24"/>
          <w14:textFill>
            <w14:solidFill>
              <w14:schemeClr w14:val="tx1"/>
            </w14:solidFill>
          </w14:textFill>
        </w:rPr>
        <w:t>2</w:t>
      </w:r>
      <w:r>
        <w:rPr>
          <w:rFonts w:hint="eastAsia"/>
          <w:color w:val="000000" w:themeColor="text1"/>
          <w:szCs w:val="24"/>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毛泽东思想与中国特色社会主义理论体系概论</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第二学期开设，共72学时，其中理论64学时，实践8学时。</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3．大学生职业发展与就业指导</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第一至四学期开设，共36学时，其中理论18学时，实践18学时。</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职业人”转换的各种准备，帮助大学生树立正确的成才和就业观念。</w:t>
      </w:r>
    </w:p>
    <w:p>
      <w:pPr>
        <w:spacing w:line="480" w:lineRule="exact"/>
        <w:ind w:firstLine="480"/>
        <w:rPr>
          <w:rFonts w:ascii="宋体" w:hAnsi="宋体" w:cs="宋体"/>
          <w:color w:val="000000" w:themeColor="text1"/>
          <w:szCs w:val="24"/>
          <w14:textFill>
            <w14:solidFill>
              <w14:schemeClr w14:val="tx1"/>
            </w14:solidFill>
          </w14:textFill>
        </w:rPr>
      </w:pPr>
      <w:r>
        <w:rPr>
          <w:color w:val="000000" w:themeColor="text1"/>
          <w:szCs w:val="24"/>
          <w14:textFill>
            <w14:solidFill>
              <w14:schemeClr w14:val="tx1"/>
            </w14:solidFill>
          </w14:textFill>
        </w:rPr>
        <w:t>4</w:t>
      </w:r>
      <w:r>
        <w:rPr>
          <w:rFonts w:hint="eastAsia" w:ascii="宋体" w:hAnsi="宋体" w:cs="宋体"/>
          <w:color w:val="000000" w:themeColor="text1"/>
          <w:szCs w:val="24"/>
          <w14:textFill>
            <w14:solidFill>
              <w14:schemeClr w14:val="tx1"/>
            </w14:solidFill>
          </w14:textFill>
        </w:rPr>
        <w:t>．形势与政策</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第一至四学期开设，每学期8学时，共32学时。</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内容简介：本课程主要以马克思列宁主义、毛泽东思想、邓小平理论、“三个代表”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rPr>
          <w:rFonts w:ascii="宋体" w:hAnsi="宋体" w:cs="宋体"/>
          <w:color w:val="000000" w:themeColor="text1"/>
          <w:szCs w:val="24"/>
          <w14:textFill>
            <w14:solidFill>
              <w14:schemeClr w14:val="tx1"/>
            </w14:solidFill>
          </w14:textFill>
        </w:rPr>
      </w:pPr>
      <w:r>
        <w:rPr>
          <w:color w:val="000000" w:themeColor="text1"/>
          <w:szCs w:val="24"/>
          <w14:textFill>
            <w14:solidFill>
              <w14:schemeClr w14:val="tx1"/>
            </w14:solidFill>
          </w14:textFill>
        </w:rPr>
        <w:t>5</w:t>
      </w:r>
      <w:r>
        <w:rPr>
          <w:rFonts w:hint="eastAsia" w:ascii="宋体" w:hAnsi="宋体" w:cs="宋体"/>
          <w:color w:val="000000" w:themeColor="text1"/>
          <w:szCs w:val="24"/>
          <w14:textFill>
            <w14:solidFill>
              <w14:schemeClr w14:val="tx1"/>
            </w14:solidFill>
          </w14:textFill>
        </w:rPr>
        <w:t>．大学生创新创业基础</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第四学期开设，共36学时，其中理论18学时，实践18学时。</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课程目标：本课程是面向全校大专学生开设的公共必修课程，是对高校学生进行创业教育的主渠道。通过“创业基础”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6．高职英语</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第一、二学期开设，共</w:t>
      </w:r>
      <w:r>
        <w:rPr>
          <w:rFonts w:ascii="宋体" w:hAnsi="宋体" w:cs="宋体"/>
          <w:color w:val="000000" w:themeColor="text1"/>
          <w:szCs w:val="24"/>
          <w14:textFill>
            <w14:solidFill>
              <w14:schemeClr w14:val="tx1"/>
            </w14:solidFill>
          </w14:textFill>
        </w:rPr>
        <w:t>72</w:t>
      </w:r>
      <w:r>
        <w:rPr>
          <w:rFonts w:hint="eastAsia" w:ascii="宋体" w:hAnsi="宋体" w:cs="宋体"/>
          <w:color w:val="000000" w:themeColor="text1"/>
          <w:szCs w:val="24"/>
          <w14:textFill>
            <w14:solidFill>
              <w14:schemeClr w14:val="tx1"/>
            </w14:solidFill>
          </w14:textFill>
        </w:rPr>
        <w:t>学时，其中理论</w:t>
      </w:r>
      <w:r>
        <w:rPr>
          <w:rFonts w:ascii="宋体" w:hAnsi="宋体" w:cs="宋体"/>
          <w:color w:val="000000" w:themeColor="text1"/>
          <w:szCs w:val="24"/>
          <w14:textFill>
            <w14:solidFill>
              <w14:schemeClr w14:val="tx1"/>
            </w14:solidFill>
          </w14:textFill>
        </w:rPr>
        <w:t>72</w:t>
      </w:r>
      <w:r>
        <w:rPr>
          <w:rFonts w:hint="eastAsia" w:ascii="宋体" w:hAnsi="宋体" w:cs="宋体"/>
          <w:color w:val="000000" w:themeColor="text1"/>
          <w:szCs w:val="24"/>
          <w14:textFill>
            <w14:solidFill>
              <w14:schemeClr w14:val="tx1"/>
            </w14:solidFill>
          </w14:textFill>
        </w:rPr>
        <w:t>学时。</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课程目标：培养学生在职场环境下运用英语的基本能力，使学生掌握一定的英语基础知识和技能，具有一定的听、说、读、写、译的能力，从而能借助词典阅读和翻译有关英语业务资料，在涉外交际的日常活动和业务活动中进行简单的口头和书面交流，满足学生作为职业人对语言交际的需要，并为今后进一步提高英语的交际能力打下基础。</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内容简介：主要内容包括英语词汇的认知，在听、说、读、写、译中正确运用所学语法知识、对日常和涉外业务活动中使用的结构简单、发音清楚、语速较慢（每分钟100词左右）的英语对话听力和口语练习，以及中等难度的一般题材的简短英文资料阅读训练，80-100词的简短的英语应用文写作练习。</w:t>
      </w:r>
    </w:p>
    <w:p>
      <w:pPr>
        <w:spacing w:line="480" w:lineRule="exact"/>
        <w:ind w:firstLine="480"/>
        <w:rPr>
          <w:rFonts w:ascii="宋体" w:hAnsi="宋体" w:cs="宋体"/>
          <w:color w:val="000000" w:themeColor="text1"/>
          <w:szCs w:val="24"/>
          <w14:textFill>
            <w14:solidFill>
              <w14:schemeClr w14:val="tx1"/>
            </w14:solidFill>
          </w14:textFill>
        </w:rPr>
      </w:pPr>
      <w:r>
        <w:rPr>
          <w:color w:val="000000" w:themeColor="text1"/>
          <w:szCs w:val="24"/>
          <w14:textFill>
            <w14:solidFill>
              <w14:schemeClr w14:val="tx1"/>
            </w14:solidFill>
          </w14:textFill>
        </w:rPr>
        <w:t>7</w:t>
      </w:r>
      <w:r>
        <w:rPr>
          <w:rFonts w:hint="eastAsia" w:ascii="宋体" w:hAnsi="宋体" w:cs="宋体"/>
          <w:color w:val="000000" w:themeColor="text1"/>
          <w:szCs w:val="24"/>
          <w14:textFill>
            <w14:solidFill>
              <w14:schemeClr w14:val="tx1"/>
            </w14:solidFill>
          </w14:textFill>
        </w:rPr>
        <w:t>．心理健康教育</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第一学期开设，共36学时，其中理论34学时，实践2学时。</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课程目标：大学生心理健康教育课的目标是提高全体学生的心理素质，优化每一个学生的人格，帮助学生解决成长发展中的各种困惑及问题。通过对本课程的学习，使学生了解心理健康的价值和意义；普及心理健康的知识；掌握维护心理健康的方法和自我调适的策略。增强大学生的心理保健能力和社会适应能力，培养自我认知能力、人际沟通能力、自我调节能力，开发个体心理潜能，提高学生的心理素质，使全体学生都能得到全面而健康的发展。</w:t>
      </w:r>
    </w:p>
    <w:p>
      <w:pPr>
        <w:spacing w:line="480" w:lineRule="exact"/>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内容简介：主要内容包括大学生的认知与心理健康、大学生的情商与心理健康、大学生的人格发展与心理健康、大学生的学习与心理健康、大学生的适应及挫折与心理健康、大学生的人际交往能力与心理健康、大学生恋爱及性与心理健康、互联网与大学生心理健康、大学生的心理障碍与心理健康、大学生的职业生涯规划与心理健康、大学生的生命意识教育与心理健康等内容。课程内容从多角度，全方位的对大学生心理健康素质进行教育。教会学生如何运用所学知识来解决生活中遇到的心理健康问题。</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信息技术基础</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第一学期开设，共72学时。其中理论30学时，实践42学时。</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信息技术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内容简介：了解计算机的基本知识；熟练掌握操作系统的具体操作方法；熟练掌握 Office 办公软件中各组件的具体使用；了解计算机网络基础；熟练掌握 Internet 的应用，培养学生搜集资料、阅读资料、利用资料的能力，以及自学能力。</w:t>
      </w:r>
    </w:p>
    <w:p>
      <w:pPr>
        <w:ind w:firstLine="480"/>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体育与劳动</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第一至四学期开设，共144学时，其中理论12学时，实践132学时（含劳动36学时）。</w:t>
      </w:r>
    </w:p>
    <w:p>
      <w:pPr>
        <w:spacing w:line="480" w:lineRule="exact"/>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课程目标：体育课程是大学生以身体练习为主要手段，坚持“健康第一”的指导思想，通过合理的体育教育和科学的体育锻炼过程，达到运动参与目标、运动技能目标、身体健康目标、心理健康目标和社会适应目标，最终达到增强体质、增进健康和提高体育素质的任务；劳动课是</w:t>
      </w:r>
      <w:r>
        <w:rPr>
          <w:color w:val="000000" w:themeColor="text1"/>
          <w14:textFill>
            <w14:solidFill>
              <w14:schemeClr w14:val="tx1"/>
            </w14:solidFill>
          </w14:textFill>
        </w:rPr>
        <w:t>培养学生劳动素养和科学素养</w:t>
      </w:r>
      <w:r>
        <w:rPr>
          <w:rFonts w:hint="eastAsia"/>
          <w:color w:val="000000" w:themeColor="text1"/>
          <w14:textFill>
            <w14:solidFill>
              <w14:schemeClr w14:val="tx1"/>
            </w14:solidFill>
          </w14:textFill>
        </w:rPr>
        <w:t>的重要手段，通过劳动教育和实践，使学生学会一些基本的劳动知识和劳动技能，提高实践能力和动手能力，培养热爱劳动观念，弘扬劳动精神，引导学生崇尚劳动、尊重劳动，养成良好的劳动意识和劳动习惯。</w:t>
      </w:r>
    </w:p>
    <w:p>
      <w:pPr>
        <w:spacing w:line="480" w:lineRule="exact"/>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根据《全国普通高等学校体育课程教学指导纲要》、《高等学校体育工作基本标准》、《学校体育工作条例》的要求及我校实际情况，遵照健康第一的教育思想，开设定项体育课程、选项体育课程。定项课程是全体学生均需要学习的项目，主要有：田径、太极拳等。选项课程是根据专业情况和学生的爱好兴趣设定项目，主要有：篮球、足球、排球、健美操、武术、乒乓球、游泳、羽毛球、跳绳、体育舞蹈等；</w:t>
      </w:r>
      <w:r>
        <w:rPr>
          <w:rFonts w:hint="eastAsia"/>
          <w:color w:val="000000" w:themeColor="text1"/>
          <w14:textFill>
            <w14:solidFill>
              <w14:schemeClr w14:val="tx1"/>
            </w14:solidFill>
          </w14:textFill>
        </w:rPr>
        <w:t>劳动课主要开展自我服务劳动、家庭劳动、公益劳动和简单的生产劳动等实践活动，学习劳动技能和团队沟通、协作能力。</w:t>
      </w:r>
    </w:p>
    <w:p>
      <w:pPr>
        <w:pStyle w:val="3"/>
        <w:ind w:firstLine="48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（二）专业课程。</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专业课程共20门，合计</w:t>
      </w:r>
      <w:r>
        <w:rPr>
          <w:color w:val="000000" w:themeColor="text1"/>
          <w14:textFill>
            <w14:solidFill>
              <w14:schemeClr w14:val="tx1"/>
            </w14:solidFill>
          </w14:textFill>
        </w:rPr>
        <w:t>66</w:t>
      </w:r>
      <w:r>
        <w:rPr>
          <w:rFonts w:hint="eastAsia"/>
          <w:color w:val="000000" w:themeColor="text1"/>
          <w14:textFill>
            <w14:solidFill>
              <w14:schemeClr w14:val="tx1"/>
            </w14:solidFill>
          </w14:textFill>
        </w:rPr>
        <w:t>学分。包括专业基础课程、专业核心课程和专业拓展课程。</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专业基础课程共6门，合计2</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 xml:space="preserve">学分，主要包括宠物解剖生理、动物生物化学、宠物病理、宠物药理、小动物影像技术、动物微生物与免疫技术； </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专业核心课程共7门，合计3</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学分，主要包括宠物疾病临床诊疗技术、宠物外科与产科、宠物传染病、宠物内科病、宠物寄生虫病、宠物养护与疾病防治和宠物皮肤病与营养代谢；</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专业拓展课程共7门，合计</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学分，主要包括医用化学基础、宠物学概论、宠物食品与营养、宠物美容与服饰、宠物医院实务、宠物饲养、动物繁殖与育种。</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主要专业课程介绍如下：</w:t>
      </w:r>
    </w:p>
    <w:p>
      <w:pPr>
        <w:ind w:firstLine="480"/>
        <w:rPr>
          <w:rFonts w:ascii="宋体" w:hAnsi="宋体" w:cs="宋体"/>
          <w:color w:val="000000" w:themeColor="text1"/>
          <w14:textFill>
            <w14:solidFill>
              <w14:schemeClr w14:val="tx1"/>
            </w14:solidFill>
          </w14:textFill>
        </w:rPr>
      </w:pPr>
      <w:r>
        <w:rPr>
          <w:rFonts w:hint="eastAsia"/>
          <w:color w:val="000000" w:themeColor="text1"/>
          <w:szCs w:val="24"/>
          <w14:textFill>
            <w14:solidFill>
              <w14:schemeClr w14:val="tx1"/>
            </w14:solidFill>
          </w14:textFill>
        </w:rPr>
        <w:t>1．</w:t>
      </w:r>
      <w:r>
        <w:rPr>
          <w:rFonts w:hint="eastAsia" w:ascii="宋体" w:hAnsi="宋体" w:cs="宋体"/>
          <w:color w:val="000000" w:themeColor="text1"/>
          <w14:textFill>
            <w14:solidFill>
              <w14:schemeClr w14:val="tx1"/>
            </w14:solidFill>
          </w14:textFill>
        </w:rPr>
        <w:t>宠物解剖生理</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第一学期开设，90学时，其中理论学时为70学时，实验学时为20学时。宠物解剖生理课程是高职宠物医学类专业必修的重要专业基础课，是其它专业课的核心基础。使学生掌握宠物医学类专业所必须的专业基础理论、专业基础实践技能和综合职业能力，掌握犬、猫有机体器官的形态结构与功能，利用实验室指导犬、猫基本的解剖知识等，能够更好地为宠物疾病临床诊疗技术、宠物病理、宠物内科病等专业课程服务，培养学生具有较强的工作岗位适应能力、分析和解决实际问题的能力以及创新意识和职业道德意识。</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本课程是研究正常宠物有机体的宏观和微观形态结构、生理机能及其发生、发展规律的科学，研究宠物有机体基本生命活动及其规律的学科。通常学习，掌握被皮、运动、消化、呼吸、泌尿、生殖、心血管、神经、免疫、内分泌等系统的组成。本课程与后续的动物微生物与免疫技术、宠物病理、宠物药理、宠物传染病、宠物疾病诊疗技术、宠物内科病、小动物影像技术等课程有着密切联系。宠物解剖生理既是有关专业基础课和专业课的先导，还应为学生拓宽知识面和提高其适应能力奠定坚实的理论和技能基础，为后期相关课程的学习，打下雄厚的理论基础和直观的形态学基础。</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宠物病理</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第二学期开设，72学时，其中理论学时为60学时，实验学时为12学时。通过本课程的学习，使学生基本了解和掌握犬、猫等宠物疾病发生的病因、发病机理，宠物病理课程中的基本概念和疾病过程中出现的基本病理变化，并能够进行病理组织切片的诊断等。培养学生运用辩证唯物主义哲学思想分析疾病发生的机理及规律的能力。</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宠物病理是联系宠物临床诊疗技术专业基础学科与临床学科之间的桥梁。它与宠物解剖生理学、动物生物化学、动物微生物与免疫技术、宠物内科病、宠物外科与产科、宠物传染病学等学科有密切的联系，并运用这些学科知识来研究疾病的病因、发病机理和病畜体内所呈现的代谢、机能和形态结构的变化，揭示疾病发生发展的一般规律。</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动物微生物与免疫技术</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第二学期开设，72学时，其中理论学时为60学时，实验学时为12学时。本课程旨在引领学生全面了解微生物学与免疫学基础知识，掌握微生物学及免疫学诊断基本技术。通过检查细菌、检查病毒、检查真菌及其他微生物、免疫诊断及监测的演练，以能规范进行常见动物传染性疾病的微生物学和免疫学诊断及免疫监测。</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动物微生物与免疫技术作为宠物医学类专业必修的一门专业基础课，它是通过综合运用动物微生物学、免疫学和病毒学等基础知识来分析和解决各种临床疾病的基础学科。动物微生物与免疫技术理论课包括微生物基本知识与检验技术、免疫学基础及应用、主要病原微生物及检验和微生物在生产实践中的应用四个篇章，该课程与生产实践联系十分紧密，起到由理论到实践、由基础到专业的桥梁作用。</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小动物影像技术</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第三学期开设，总学时72学时，其中理论学时36学时，实训学时36学时。在第三学期上半学期学习影像技术的基本理论知识，使学生了解目前国际流行的、用于宠物临床诊断、必不可少的各种影像诊断新技术。比较系统地了解各种影像新技术的成像原理、影像特点、临床应用范围及各自的独特优势，学会X光、B超、CT、MRI等技术的理论和操作方法及在宠物临床的应用。第三学期下半学期通过集中实训使学生能够对宠物相关疾病进行影像诊断进行临床诊断和疾病辅助治疗</w:t>
      </w:r>
      <w:r>
        <w:rPr>
          <w:rFonts w:hint="eastAsia" w:ascii="宋体" w:hAnsi="宋体" w:cs="宋体"/>
          <w:color w:val="000000" w:themeColor="text1"/>
          <w:sz w:val="28"/>
          <w:szCs w:val="28"/>
          <w14:textFill>
            <w14:solidFill>
              <w14:schemeClr w14:val="tx1"/>
            </w14:solidFill>
          </w14:textFill>
        </w:rPr>
        <w:t>。</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w:t>
      </w:r>
      <w:r>
        <w:rPr>
          <w:rFonts w:hint="eastAsia" w:ascii="宋体" w:hAnsi="宋体" w:cs="宋体"/>
          <w:color w:val="000000" w:themeColor="text1"/>
          <w:szCs w:val="28"/>
          <w14:textFill>
            <w14:solidFill>
              <w14:schemeClr w14:val="tx1"/>
            </w14:solidFill>
          </w14:textFill>
        </w:rPr>
        <w:t>小动物影像技术是研究宠物疾病影像诊断技术的一门学科。它包括多种影像技术成分，使机体内部结构和器官形成图像表现出来，借以了解机体解剖结构、生</w:t>
      </w:r>
      <w:r>
        <w:rPr>
          <w:rFonts w:hint="eastAsia" w:ascii="宋体" w:hAnsi="宋体" w:cs="宋体"/>
          <w:color w:val="000000" w:themeColor="text1"/>
          <w14:textFill>
            <w14:solidFill>
              <w14:schemeClr w14:val="tx1"/>
            </w14:solidFill>
          </w14:textFill>
        </w:rPr>
        <w:t>理状况以及病理变化，从而达到诊断目的。</w:t>
      </w:r>
    </w:p>
    <w:p>
      <w:pPr>
        <w:ind w:firstLine="480"/>
        <w:rPr>
          <w:rFonts w:ascii="宋体" w:hAnsi="宋体" w:cs="宋体"/>
          <w:color w:val="000000" w:themeColor="text1"/>
          <w14:textFill>
            <w14:solidFill>
              <w14:schemeClr w14:val="tx1"/>
            </w14:solidFill>
          </w14:textFill>
        </w:rPr>
      </w:pPr>
      <w:r>
        <w:rPr>
          <w:rFonts w:hint="eastAsia"/>
          <w:color w:val="000000" w:themeColor="text1"/>
          <w:szCs w:val="24"/>
          <w14:textFill>
            <w14:solidFill>
              <w14:schemeClr w14:val="tx1"/>
            </w14:solidFill>
          </w14:textFill>
        </w:rPr>
        <w:t>5．</w:t>
      </w:r>
      <w:r>
        <w:rPr>
          <w:rFonts w:hint="eastAsia" w:ascii="宋体" w:hAnsi="宋体" w:cs="宋体"/>
          <w:color w:val="000000" w:themeColor="text1"/>
          <w14:textFill>
            <w14:solidFill>
              <w14:schemeClr w14:val="tx1"/>
            </w14:solidFill>
          </w14:textFill>
        </w:rPr>
        <w:t>宠物疾病临床诊疗技术</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第三学期开设，108学时，其中理论学时为54学时，实训学时为54学时。第三学期上半学期学生学习宠物疾病临床诊疗技术基本理论，掌握宠物临床常见疾病诊断技巧，课堂讲授的知识和内容随着临床诊疗技术的发展而不断更新，使学生了解最前沿的临床诊疗技术，进而熟悉和掌握各类宠物疫病临床诊疗新技术。第三学期下半学期通过实训使学生在宠物医院临床中加以运用，使学生进一步了解和掌握合格的兽医的工作内容。</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宠物疾病临床诊疗技术从临床实际需要的角度为学生讲授在动物医院中如何进行临诊、如何解决临床问题。课程内容包括：宠物医院的结构、各部门的规则、动物医院的发展、小动物临床诊断技术、心电图技术、插管技术和抢救技术、穿刺技术、皮肤病诊断技术、输液技术和肿瘤诊疗技术等。学习并掌握小动物临床诊疗设备与设施的使用、以及犬猫为主的小动物的行为特点、动物主人一般心理等。</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6</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宠物内科病</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第三学期开设，90学时，其中理论学时为54学时，实训学时为36学时。第三学期上半学期学习宠物内科病的基本理论，掌握宠物内科病的诊断技巧。下半学期通过实训使学生能够对宠物内科病进行临床诊断和治疗</w:t>
      </w:r>
      <w:r>
        <w:rPr>
          <w:rFonts w:hint="eastAsia" w:ascii="宋体" w:hAnsi="宋体" w:cs="宋体"/>
          <w:color w:val="000000" w:themeColor="text1"/>
          <w:sz w:val="28"/>
          <w:szCs w:val="28"/>
          <w14:textFill>
            <w14:solidFill>
              <w14:schemeClr w14:val="tx1"/>
            </w14:solidFill>
          </w14:textFill>
        </w:rPr>
        <w:t>。</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主要以犬、猫的内科疾病诊疗为主，同时兼顾了观赏鱼、龟、鸟等其他宠物内科疾病的相关内容；在疾病诊疗中，特别注重诊断和治疗技能的阐述。按照消化障碍、呼吸障碍、循环障碍、泌尿障碍、运动障碍、神经障碍、生长、发育、代谢障碍、皮肤、黏膜障碍及其他宠物疾病的顺序，各情境下按照临床主症设立若干任务，各疾病均按照特征、诊断和治疗等临床步骤进行阐述，便于学生按照宠物疾病主症鉴别诊断及治疗，符合宠物疾病临床诊治规律。</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7</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宠物外科与产科</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第四学期开设，总学时108学时，其中理论学时为54学时，实训学时为54学时。通过第四学期上半学期学习宠物外科与产科的基本理论知识，熟悉宠物外科与产科病的诊疗技巧。下半学期通过集中实训使学生能够对宠物外科与产科病进行临床诊断和治疗</w:t>
      </w:r>
      <w:r>
        <w:rPr>
          <w:rFonts w:hint="eastAsia" w:ascii="宋体" w:hAnsi="宋体" w:cs="宋体"/>
          <w:color w:val="000000" w:themeColor="text1"/>
          <w:sz w:val="28"/>
          <w:szCs w:val="28"/>
          <w14:textFill>
            <w14:solidFill>
              <w14:schemeClr w14:val="tx1"/>
            </w14:solidFill>
          </w14:textFill>
        </w:rPr>
        <w:t>。</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内容简介：宠物外科与产科是一门实践性和技术性非常强的学科，是</w:t>
      </w:r>
      <w:r>
        <w:fldChar w:fldCharType="begin"/>
      </w:r>
      <w:r>
        <w:instrText xml:space="preserve"> HYPERLINK "https://baike.sogou.com/lemma/ShowInnerLink.htm?lemmaId=70987798&amp;ss_c=ssc.citiao.link" \t "_blank" </w:instrText>
      </w:r>
      <w:r>
        <w:fldChar w:fldCharType="separate"/>
      </w:r>
      <w:r>
        <w:rPr>
          <w:rFonts w:hint="eastAsia" w:ascii="宋体" w:hAnsi="宋体" w:cs="宋体"/>
          <w:color w:val="000000" w:themeColor="text1"/>
          <w14:textFill>
            <w14:solidFill>
              <w14:schemeClr w14:val="tx1"/>
            </w14:solidFill>
          </w14:textFill>
        </w:rPr>
        <w:t>临床宠物医学</w:t>
      </w:r>
      <w:r>
        <w:rPr>
          <w:rFonts w:hint="eastAsia" w:ascii="宋体" w:hAnsi="宋体" w:cs="宋体"/>
          <w:color w:val="000000" w:themeColor="text1"/>
          <w14:textFill>
            <w14:solidFill>
              <w14:schemeClr w14:val="tx1"/>
            </w14:solidFill>
          </w14:textFill>
        </w:rPr>
        <w:fldChar w:fldCharType="end"/>
      </w:r>
      <w:r>
        <w:rPr>
          <w:rFonts w:hint="eastAsia" w:ascii="宋体" w:hAnsi="宋体" w:cs="宋体"/>
          <w:color w:val="000000" w:themeColor="text1"/>
          <w14:textFill>
            <w14:solidFill>
              <w14:schemeClr w14:val="tx1"/>
            </w14:solidFill>
          </w14:textFill>
        </w:rPr>
        <w:t>类专业的重要的专业课。它的范围应该包括外科与产科疾病的发生和发展规律、诊断、治疗和预防的基本方法。并能用手术和非手术的方法及时处理外科与产科疾病，这就要求在意外情况下能够运用基本知识来解决突如其来的实际问题。所以，在学习外产科学的过程中必须要</w:t>
      </w:r>
      <w:r>
        <w:fldChar w:fldCharType="begin"/>
      </w:r>
      <w:r>
        <w:instrText xml:space="preserve"> HYPERLINK "https://baike.sogou.com/lemma/ShowInnerLink.htm?lemmaId=370051&amp;ss_c=ssc.citiao.link" \t "_blank" </w:instrText>
      </w:r>
      <w:r>
        <w:fldChar w:fldCharType="separate"/>
      </w:r>
      <w:r>
        <w:rPr>
          <w:rFonts w:hint="eastAsia" w:ascii="宋体" w:hAnsi="宋体" w:cs="宋体"/>
          <w:color w:val="000000" w:themeColor="text1"/>
          <w14:textFill>
            <w14:solidFill>
              <w14:schemeClr w14:val="tx1"/>
            </w14:solidFill>
          </w14:textFill>
        </w:rPr>
        <w:t>理论联系实际</w:t>
      </w:r>
      <w:r>
        <w:rPr>
          <w:rFonts w:hint="eastAsia" w:ascii="宋体" w:hAnsi="宋体" w:cs="宋体"/>
          <w:color w:val="000000" w:themeColor="text1"/>
          <w14:textFill>
            <w14:solidFill>
              <w14:schemeClr w14:val="tx1"/>
            </w14:solidFill>
          </w14:textFill>
        </w:rPr>
        <w:fldChar w:fldCharType="end"/>
      </w:r>
      <w:r>
        <w:rPr>
          <w:rFonts w:hint="eastAsia" w:ascii="宋体" w:hAnsi="宋体" w:cs="宋体"/>
          <w:color w:val="000000" w:themeColor="text1"/>
          <w14:textFill>
            <w14:solidFill>
              <w14:schemeClr w14:val="tx1"/>
            </w14:solidFill>
          </w14:textFill>
        </w:rPr>
        <w:t>，在实际中来运用理论知识，这样才能逐步提高自己的理论水平和实际操作技能，从而更好地为宠物日常疾病防治服务。</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宠物传染病</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第三学期开设，总学时90学时，理论学时54学时，实训学时36学时。通过学习宠物传染病的基本理论知识，熟悉宠物传染病的诊疗技巧。掌握宠物传染病的传染及防疫理论，了解宠物传染病发生发展基本规律，熟悉各种传染病的特点，掌握宠物传染病诊疗、防疫的正确的方法；上半学期理论，下半学期实训。</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宠物传染病的发生和流行过程、防制措施、诊断和治疗，犬猫、观赏鸟、观赏鱼的各种传染病的病原流行病学、症状、病变、诊断和防制。实训指导的内容包括与传染病相关的基本技术和犬瘟热等宠物传染病的实验室诊断技术。</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9</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宠物寄生虫病</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课程目标：第四学期开设，总学时</w:t>
      </w:r>
      <w:r>
        <w:rPr>
          <w:rFonts w:ascii="宋体" w:hAnsi="宋体" w:cs="宋体"/>
          <w:color w:val="000000" w:themeColor="text1"/>
          <w14:textFill>
            <w14:solidFill>
              <w14:schemeClr w14:val="tx1"/>
            </w14:solidFill>
          </w14:textFill>
        </w:rPr>
        <w:t>72</w:t>
      </w:r>
      <w:r>
        <w:rPr>
          <w:rFonts w:hint="eastAsia" w:ascii="宋体" w:hAnsi="宋体" w:cs="宋体"/>
          <w:color w:val="000000" w:themeColor="text1"/>
          <w14:textFill>
            <w14:solidFill>
              <w14:schemeClr w14:val="tx1"/>
            </w14:solidFill>
          </w14:textFill>
        </w:rPr>
        <w:t>学时，其中理论学时</w:t>
      </w:r>
      <w:r>
        <w:rPr>
          <w:rFonts w:ascii="宋体" w:hAnsi="宋体" w:cs="宋体"/>
          <w:color w:val="000000" w:themeColor="text1"/>
          <w14:textFill>
            <w14:solidFill>
              <w14:schemeClr w14:val="tx1"/>
            </w14:solidFill>
          </w14:textFill>
        </w:rPr>
        <w:t>54</w:t>
      </w:r>
      <w:r>
        <w:rPr>
          <w:rFonts w:hint="eastAsia" w:ascii="宋体" w:hAnsi="宋体" w:cs="宋体"/>
          <w:color w:val="000000" w:themeColor="text1"/>
          <w14:textFill>
            <w14:solidFill>
              <w14:schemeClr w14:val="tx1"/>
            </w14:solidFill>
          </w14:textFill>
        </w:rPr>
        <w:t>学时，实验学时</w:t>
      </w:r>
      <w:r>
        <w:rPr>
          <w:rFonts w:ascii="宋体" w:hAnsi="宋体" w:cs="宋体"/>
          <w:color w:val="000000" w:themeColor="text1"/>
          <w14:textFill>
            <w14:solidFill>
              <w14:schemeClr w14:val="tx1"/>
            </w14:solidFill>
          </w14:textFill>
        </w:rPr>
        <w:t>18</w:t>
      </w:r>
      <w:r>
        <w:rPr>
          <w:rFonts w:hint="eastAsia" w:ascii="宋体" w:hAnsi="宋体" w:cs="宋体"/>
          <w:color w:val="000000" w:themeColor="text1"/>
          <w14:textFill>
            <w14:solidFill>
              <w14:schemeClr w14:val="tx1"/>
            </w14:solidFill>
          </w14:textFill>
        </w:rPr>
        <w:t>学时。学习宠物寄生虫病的基础知识、基础理论，掌握犬、猫和观赏鸟常见寄生虫病的病原形态、生活史、流行特点、症状、诊断和防治等。</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内容简介：主要介绍了宠物寄生虫病的基础知识、基础理论，并以寄生虫类别为单元，介绍了犬、猫和观赏鸟常见寄生虫病的病原形态、生活史、流行特点、症状、诊断和防治等。</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10</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宠物美容与服饰</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第二学期开设，总学时18学时。通过第二学期理论知识学习，主要介绍几种常见的宠物基础护理与美容以及服饰制作工艺。宠物美容的内容是一大亮点，与宠物美容部分两者相辅相承，既拓展了教学内容，又有利于激发学生的创新能力并掌握一项新技能。了解宠物美容的发展及常规美容技术发展优势及前景，掌握先进、潮流的宠物美容技术。了解宠物美容行业运行方式，以及发展模式，熟悉宠物服饰的设计以及生产使用。对宠物美容与服饰有基础了解，为学生在临床应用与生产中奠定一定的理论基础。</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内容简介：美容与服饰行业是宠物服务业的重要组成部分，与宠物福利以及人们幸福息息相关。本课程包含宠物美容部分和宠物服饰制作部分。美容的部分主要从宠物美容的发展及犬、猫的形态结构、皮毛特征开始，讲述工具的识别使用和基础美容的操作过程，进而重点介绍常见犬种的美容造型修剪为主的护理美容操作工作过程，并将各工作过程拍摄成照片，能更加清晰地反映操作要点与精华，以供宠物专业的在校学生和从事宠物美容的初学者使用。</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11</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宠物养护与疾病防治</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课程目标：第四学期开设，总学时</w:t>
      </w:r>
      <w:r>
        <w:rPr>
          <w:rFonts w:ascii="宋体" w:hAnsi="宋体" w:cs="宋体"/>
          <w:color w:val="000000" w:themeColor="text1"/>
          <w14:textFill>
            <w14:solidFill>
              <w14:schemeClr w14:val="tx1"/>
            </w14:solidFill>
          </w14:textFill>
        </w:rPr>
        <w:t>72</w:t>
      </w:r>
      <w:r>
        <w:rPr>
          <w:rFonts w:hint="eastAsia" w:ascii="宋体" w:hAnsi="宋体" w:cs="宋体"/>
          <w:color w:val="000000" w:themeColor="text1"/>
          <w14:textFill>
            <w14:solidFill>
              <w14:schemeClr w14:val="tx1"/>
            </w14:solidFill>
          </w14:textFill>
        </w:rPr>
        <w:t>学时，其中理论学时</w:t>
      </w:r>
      <w:r>
        <w:rPr>
          <w:rFonts w:ascii="宋体" w:hAnsi="宋体" w:cs="宋体"/>
          <w:color w:val="000000" w:themeColor="text1"/>
          <w14:textFill>
            <w14:solidFill>
              <w14:schemeClr w14:val="tx1"/>
            </w14:solidFill>
          </w14:textFill>
        </w:rPr>
        <w:t>36</w:t>
      </w:r>
      <w:r>
        <w:rPr>
          <w:rFonts w:hint="eastAsia" w:ascii="宋体" w:hAnsi="宋体" w:cs="宋体"/>
          <w:color w:val="000000" w:themeColor="text1"/>
          <w14:textFill>
            <w14:solidFill>
              <w14:schemeClr w14:val="tx1"/>
            </w14:solidFill>
          </w14:textFill>
        </w:rPr>
        <w:t>学时，实训学时</w:t>
      </w:r>
      <w:r>
        <w:rPr>
          <w:rFonts w:ascii="宋体" w:hAnsi="宋体" w:cs="宋体"/>
          <w:color w:val="000000" w:themeColor="text1"/>
          <w14:textFill>
            <w14:solidFill>
              <w14:schemeClr w14:val="tx1"/>
            </w14:solidFill>
          </w14:textFill>
        </w:rPr>
        <w:t>36</w:t>
      </w:r>
      <w:r>
        <w:rPr>
          <w:rFonts w:hint="eastAsia" w:ascii="宋体" w:hAnsi="宋体" w:cs="宋体"/>
          <w:color w:val="000000" w:themeColor="text1"/>
          <w14:textFill>
            <w14:solidFill>
              <w14:schemeClr w14:val="tx1"/>
            </w14:solidFill>
          </w14:textFill>
        </w:rPr>
        <w:t>学时。培养具备宠物养护与疫病防治的基本理论和基本技能，在宠物医院、宠物养殖场、畜牧兽医科研院所及相关单位从事宠物疫病防治、饲养管理、科研及产品开发，以及在畜牧兽医行政管理部门从事管理工作的高素质技能型专门人才。</w:t>
      </w:r>
    </w:p>
    <w:p>
      <w:pPr>
        <w:ind w:firstLine="480"/>
        <w:rPr>
          <w:rFonts w:ascii="宋体" w:hAnsi="宋体" w:cs="宋体"/>
          <w:color w:val="000000" w:themeColor="text1"/>
          <w:shd w:val="clear" w:color="auto" w:fill="FFFFFF"/>
          <w14:textFill>
            <w14:solidFill>
              <w14:schemeClr w14:val="tx1"/>
            </w14:solidFill>
          </w14:textFill>
        </w:rPr>
      </w:pPr>
      <w:r>
        <w:rPr>
          <w:rFonts w:hint="eastAsia" w:ascii="宋体" w:hAnsi="宋体" w:cs="宋体"/>
          <w:color w:val="000000" w:themeColor="text1"/>
          <w14:textFill>
            <w14:solidFill>
              <w14:schemeClr w14:val="tx1"/>
            </w14:solidFill>
          </w14:textFill>
        </w:rPr>
        <w:t>内容简介：本课程主要讲解小动物特别是犬猫的养护以及疾病防治基础，使同学们认识到小动物在国防建设，社会安宁和人民生活的重要地位；主要学习小动物常见的病毒性传染病、寄生虫病、内科、外科和产科疾病的防治措施。通过对本课程的学习，使学生初步掌握宠物疾病防治和养护的基础理论知识和基本实践技能，培养学生理论联系实际及实事求是的科学态度，掌握对病证防治的实际操作技能。</w:t>
      </w:r>
    </w:p>
    <w:p>
      <w:pPr>
        <w:pStyle w:val="2"/>
        <w:spacing w:before="156" w:after="156"/>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七、教学进程安排</w:t>
      </w:r>
    </w:p>
    <w:p>
      <w:pPr>
        <w:pStyle w:val="3"/>
        <w:ind w:firstLine="48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（一）教学进程安排表        （附表一）</w:t>
      </w:r>
    </w:p>
    <w:p>
      <w:pPr>
        <w:pStyle w:val="3"/>
        <w:ind w:firstLine="48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（二）集中实践实训教学安排表（附表二）</w:t>
      </w:r>
    </w:p>
    <w:p>
      <w:r>
        <w:rPr>
          <w:rFonts w:hint="eastAsia" w:ascii="宋体" w:hAnsi="宋体" w:cs="宋体"/>
          <w:lang w:eastAsia="zh-CN"/>
        </w:rPr>
        <w:t>（</w:t>
      </w:r>
      <w:r>
        <w:rPr>
          <w:rFonts w:hint="eastAsia" w:ascii="宋体" w:hAnsi="宋体" w:cs="宋体"/>
          <w:lang w:val="en-US" w:eastAsia="zh-CN"/>
        </w:rPr>
        <w:t>三）各部分比例表          （附表三）</w:t>
      </w:r>
    </w:p>
    <w:p>
      <w:pPr>
        <w:pStyle w:val="2"/>
        <w:spacing w:before="156" w:after="156"/>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八、基本教学条件</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主要包括师资队伍、教学设施、教学资源、教学方法、教学评价、质量管理等方面，应满足培养目标、人才规格的要求，应该满足教学安排的需要，应该满足学生的多样学习需求，应该积极吸收行业企业参与。</w:t>
      </w:r>
    </w:p>
    <w:p>
      <w:pPr>
        <w:pStyle w:val="3"/>
        <w:ind w:firstLine="48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（一）师资队伍</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队伍结构</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本专业现有专任教师8名，兼职教师2名。其中教师队伍中博士两名，硕士学历达100%，“双师型”教师占60%。学生数与本专业专任教师比例约为15:1。专任教师队伍职称、年龄均能形成基本合理的梯队结构。</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专任教师</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专业专任教师均具有高校教师资格证；有理想信念、有道德情操、有扎实学识、有仁爱之心；具有兽医学硕士学历，其中有两名博士学历；具有扎实的本专业相关理论功底和实践能力；具有较强信息化教学能力，能够开展课程教学改革和科学研究。</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专业带头人</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专业带头人为博士学历，教授，能够很好地把控国内外宠物行业和专业的发展，可以广泛联系行业企业，了解宠物行业和企业对本专业人才的需求实际、教学设计、专业研究能力强，组织开展教科研工作能力强，是宠物临床诊疗技术专业建设和教学、科研的学术带头人。</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兼职教师</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专业兼职教师是从宠物医院聘任的执业兽医师，具备良好的思想政治素质、职业道德和工匠精神，具有扎实的专业知识和丰富的实际工作经验。能够承担宠物专业的专业核心课程，能够对学生实习实训和学生职业发展规划进行指导。</w:t>
      </w:r>
    </w:p>
    <w:p>
      <w:pPr>
        <w:pStyle w:val="3"/>
        <w:ind w:firstLine="48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（二）教学设施</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教学设施主要包括能够满足正常的课程教学、实习实训所需的专业教室、校内实训室和校外实训基地等。</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专业教室基本条件</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本专业教室配多媒体计算机、投影设备、音响设备等设施；具有应急照明装置，符合紧急疏散要求，保持逃生通道畅通无阻。</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校内实训室</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实训（实验）室面积、设施等均达到国家发布的有关专业实训教学条件建设标准（仪器设备配备规范）要求。各实验室均配备多媒体系统，信息化条件保障满足专业建设、教学管理、信息化教学和学生自主学习的需要。</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校外实训基地</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具有稳定的校外实训基地，主要选择宠物医院和宠物诊所作为校外实训基地，实训基地实训设备齐备，实训岗位、实训指导教师确定，实训管理及实施规章制度齐全。</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学生实习基地</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具有稳定的校外实习基地；由学院教务处和食品与药品学院共同联系大型宠物医院实习单位，实习单位配备相应数量的指导教师对学生实习进行指导和管理；具有能保证实习生日常工作、学习、生活的规章制度，有安全、保险保障。</w:t>
      </w:r>
    </w:p>
    <w:p>
      <w:pPr>
        <w:pStyle w:val="3"/>
        <w:ind w:firstLine="48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（三）教学资源</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教材选用</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根据专业实际需要，选用2018年中国农业出版社高中职业教材目录内教材、并充分采用图书和数字资源相结合，满足学生专业学习、教师专业教学研究、教学实施和社会服务需要。严格执行国家和省（区、市）关于教材选用的有关要求，健全教材选用制度。根据需要组织编写校本教材，开发教学资源。</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图书文献配备</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该专业的图书文献配备满足人才培养、专业建设、科教研等工作的需要，方便师生查询、借阅。</w:t>
      </w:r>
    </w:p>
    <w:p>
      <w:pPr>
        <w:ind w:firstLine="480"/>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szCs w:val="24"/>
          <w14:textFill>
            <w14:solidFill>
              <w14:schemeClr w14:val="tx1"/>
            </w14:solidFill>
          </w14:textFill>
        </w:rPr>
        <w:t>．</w:t>
      </w:r>
      <w:r>
        <w:rPr>
          <w:rFonts w:hint="eastAsia" w:ascii="宋体" w:hAnsi="宋体" w:cs="宋体"/>
          <w:color w:val="000000" w:themeColor="text1"/>
          <w14:textFill>
            <w14:solidFill>
              <w14:schemeClr w14:val="tx1"/>
            </w14:solidFill>
          </w14:textFill>
        </w:rPr>
        <w:t>数字教学资源配备</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本专业建设、配备了与本专业相关的音视频素材、教学课件、数字化教学案例库等教学资源，种类丰富、形式多样、使用便捷、动态更新，能满足本专业基本教学要求。</w:t>
      </w:r>
    </w:p>
    <w:p>
      <w:pPr>
        <w:pStyle w:val="3"/>
        <w:ind w:firstLine="48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（四）教学方法</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运用多媒体教学环境，以项目为主导，以能力形成为目的，采用工学结合，教学做一体化的教学模式。倡导因材施教，因需施教，鼓励创新教学方法和策略，采用理实一体化教学、案例教学、项目教学等方法，坚持学中做，做中学。增强学生动手能力及全面解决问题的综合能力。搭建“教学与实训”相融合的培养平台，以“项目为主线、教师为主导、学生为主体”，根据不同的课程特点，开展“理实一体”教学和“顶岗实习”，让学生充分理解工作流程和实践细节，通过完成工作任务获得专业知识和技能，形成职业能力。同时积极指导学生参加教育行政部门和行业协会举行的职业技能大赛，达到“以赛促教、以赛促学”的目的。</w:t>
      </w:r>
    </w:p>
    <w:p>
      <w:pPr>
        <w:pStyle w:val="3"/>
        <w:ind w:firstLine="48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（五）学习评价</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建立学生成长档案袋，对学生的学业考核评价内容兼顾认知、技能和情感等方面，评价应体现评价标准、评价主体、评价方式、评价过程的多元化，如日常教学过程的观察、笔试、顶岗操作、职业技能大赛、职业资格鉴定等评价、评定方式。加强对教学过程的质量监控，总评成绩由形成性考核的各项成绩和期末结果考核的成绩组成。</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学生应在相应学年内完成相应课程的学习任务，同时取得相应的必修课和实践学分。毕业前修够规定学分（1</w:t>
      </w:r>
      <w:r>
        <w:rPr>
          <w:rFonts w:ascii="宋体" w:hAnsi="宋体" w:cs="宋体"/>
          <w:color w:val="000000" w:themeColor="text1"/>
          <w14:textFill>
            <w14:solidFill>
              <w14:schemeClr w14:val="tx1"/>
            </w14:solidFill>
          </w14:textFill>
        </w:rPr>
        <w:t>42</w:t>
      </w:r>
      <w:r>
        <w:rPr>
          <w:rFonts w:hint="eastAsia" w:ascii="宋体" w:hAnsi="宋体" w:cs="宋体"/>
          <w:color w:val="000000" w:themeColor="text1"/>
          <w14:textFill>
            <w14:solidFill>
              <w14:schemeClr w14:val="tx1"/>
            </w14:solidFill>
          </w14:textFill>
        </w:rPr>
        <w:t>学分）并且毕业考试</w:t>
      </w:r>
      <w:r>
        <w:rPr>
          <w:rFonts w:hint="eastAsia" w:ascii="宋体" w:hAnsi="宋体" w:cs="宋体"/>
          <w:bCs/>
          <w:color w:val="000000" w:themeColor="text1"/>
          <w14:textFill>
            <w14:solidFill>
              <w14:schemeClr w14:val="tx1"/>
            </w14:solidFill>
          </w14:textFill>
        </w:rPr>
        <w:t>合格者才能</w:t>
      </w:r>
      <w:r>
        <w:rPr>
          <w:rFonts w:hint="eastAsia" w:ascii="宋体" w:hAnsi="宋体" w:cs="宋体"/>
          <w:color w:val="000000" w:themeColor="text1"/>
          <w14:textFill>
            <w14:solidFill>
              <w14:schemeClr w14:val="tx1"/>
            </w14:solidFill>
          </w14:textFill>
        </w:rPr>
        <w:t>获得毕业证书。</w:t>
      </w:r>
    </w:p>
    <w:p>
      <w:pPr>
        <w:pStyle w:val="2"/>
        <w:spacing w:before="156" w:after="156"/>
        <w:rPr>
          <w:rFonts w:ascii="宋体" w:hAnsi="宋体" w:cs="宋体"/>
          <w:color w:val="000000" w:themeColor="text1"/>
          <w14:textFill>
            <w14:solidFill>
              <w14:schemeClr w14:val="tx1"/>
            </w14:solidFill>
          </w14:textFill>
        </w:rPr>
      </w:pPr>
      <w:r>
        <w:rPr>
          <w:rStyle w:val="30"/>
          <w:rFonts w:hint="eastAsia" w:ascii="宋体" w:hAnsi="宋体" w:cs="宋体"/>
          <w:b/>
          <w:color w:val="000000" w:themeColor="text1"/>
          <w14:textFill>
            <w14:solidFill>
              <w14:schemeClr w14:val="tx1"/>
            </w14:solidFill>
          </w14:textFill>
        </w:rPr>
        <w:t>九、质量管理</w:t>
      </w:r>
      <w:r>
        <w:rPr>
          <w:rFonts w:hint="eastAsia" w:ascii="宋体" w:hAnsi="宋体" w:cs="宋体"/>
          <w:color w:val="000000" w:themeColor="text1"/>
          <w14:textFill>
            <w14:solidFill>
              <w14:schemeClr w14:val="tx1"/>
            </w14:solidFill>
          </w14:textFill>
        </w:rPr>
        <w:tab/>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一）食品与药品学院成立由专业带头人、骨干教师、管理人员和行业企业专家组成的宠物临床诊疗技术专业建设委员会，负责为本专业建设出谋划策，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二）设立宠物临床诊疗技术教研室，负责专业建设、课程建设、教材建设和实验实训室建设，负责落实本专业教学科研工作任务，制定具体的工作计划，定期开展业务活动，同时坚持集体备课，保证课堂教学质量。</w:t>
      </w:r>
    </w:p>
    <w:p>
      <w:pPr>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三）学校实行教务处-教学办-教研室三级教学运行管理和学校督导团-学院督导组二级教学督导管理体制。学院教学工作由分管教学院长总负责，教学办公室和各教研室分工负责。在学校教学质量监控体系框架下，教学督导队伍对课堂教学、业务活动、学生考试等进行检查和指导，对教师课堂教学质量等进行评价，对专业建设和教学工作过程实施质量监控，从制度入手，采取信息化手段对专业建设和课程教学的质量进行监控，确保人才培养质量的稳步提高。 </w:t>
      </w:r>
    </w:p>
    <w:p>
      <w:pPr>
        <w:ind w:firstLine="480"/>
        <w:rPr>
          <w:rFonts w:ascii="宋体" w:hAnsi="宋体"/>
          <w:color w:val="000000" w:themeColor="text1"/>
          <w:szCs w:val="24"/>
          <w14:textFill>
            <w14:solidFill>
              <w14:schemeClr w14:val="tx1"/>
            </w14:solidFill>
          </w14:textFill>
        </w:rPr>
      </w:pPr>
      <w:r>
        <w:rPr>
          <w:rFonts w:hint="eastAsia" w:ascii="宋体" w:hAnsi="宋体" w:cs="宋体"/>
          <w:color w:val="000000" w:themeColor="text1"/>
          <w14:textFill>
            <w14:solidFill>
              <w14:schemeClr w14:val="tx1"/>
            </w14:solidFill>
          </w14:textFill>
        </w:rPr>
        <w:t>（四）</w:t>
      </w:r>
      <w:r>
        <w:rPr>
          <w:rFonts w:hint="eastAsia" w:ascii="宋体" w:hAnsi="宋体"/>
          <w:color w:val="000000" w:themeColor="text1"/>
          <w:szCs w:val="24"/>
          <w14:textFill>
            <w14:solidFill>
              <w14:schemeClr w14:val="tx1"/>
            </w14:solidFill>
          </w14:textFill>
        </w:rPr>
        <w:t>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pPr>
        <w:ind w:firstLine="480"/>
        <w:rPr>
          <w:rFonts w:ascii="宋体" w:hAnsi="宋体"/>
          <w:color w:val="000000" w:themeColor="text1"/>
          <w:szCs w:val="24"/>
          <w14:textFill>
            <w14:solidFill>
              <w14:schemeClr w14:val="tx1"/>
            </w14:solidFill>
          </w14:textFill>
        </w:rPr>
      </w:pPr>
      <w:r>
        <w:rPr>
          <w:rFonts w:hint="eastAsia" w:ascii="宋体" w:hAnsi="宋体" w:cs="宋体"/>
          <w:color w:val="000000" w:themeColor="text1"/>
          <w14:textFill>
            <w14:solidFill>
              <w14:schemeClr w14:val="tx1"/>
            </w14:solidFill>
          </w14:textFill>
        </w:rPr>
        <w:t>（五）</w:t>
      </w:r>
      <w:r>
        <w:rPr>
          <w:rFonts w:hint="eastAsia" w:ascii="宋体" w:hAnsi="宋体"/>
          <w:color w:val="000000" w:themeColor="text1"/>
          <w:szCs w:val="24"/>
          <w14:textFill>
            <w14:solidFill>
              <w14:schemeClr w14:val="tx1"/>
            </w14:solidFill>
          </w14:textFill>
        </w:rPr>
        <w:t>宠物临床诊疗技术专业建设委员会吸纳行业专家、教师和管理人员成立专项调研组，负责本专业的社会需求、毕业生跟踪调查和新生素质调查等工作，为本专业的招生和就业提供支持。</w:t>
      </w:r>
    </w:p>
    <w:p>
      <w:pPr>
        <w:pStyle w:val="2"/>
        <w:spacing w:before="156" w:after="156"/>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十、毕业要求</w:t>
      </w:r>
    </w:p>
    <w:p>
      <w:pPr>
        <w:ind w:firstLine="48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（一）学分要求：本专业共有1</w:t>
      </w:r>
      <w:r>
        <w:rPr>
          <w:rFonts w:ascii="宋体" w:hAnsi="宋体"/>
          <w:color w:val="000000" w:themeColor="text1"/>
          <w:szCs w:val="24"/>
          <w14:textFill>
            <w14:solidFill>
              <w14:schemeClr w14:val="tx1"/>
            </w14:solidFill>
          </w14:textFill>
        </w:rPr>
        <w:t>44</w:t>
      </w:r>
      <w:r>
        <w:rPr>
          <w:rFonts w:hint="eastAsia" w:ascii="宋体" w:hAnsi="宋体"/>
          <w:color w:val="000000" w:themeColor="text1"/>
          <w:szCs w:val="24"/>
          <w14:textFill>
            <w14:solidFill>
              <w14:schemeClr w14:val="tx1"/>
            </w14:solidFill>
          </w14:textFill>
        </w:rPr>
        <w:t>学分。其中，公共基础课</w:t>
      </w:r>
      <w:r>
        <w:rPr>
          <w:rFonts w:ascii="宋体" w:hAnsi="宋体"/>
          <w:color w:val="000000" w:themeColor="text1"/>
          <w:szCs w:val="24"/>
          <w14:textFill>
            <w14:solidFill>
              <w14:schemeClr w14:val="tx1"/>
            </w14:solidFill>
          </w14:textFill>
        </w:rPr>
        <w:t>37</w:t>
      </w:r>
      <w:r>
        <w:rPr>
          <w:rFonts w:hint="eastAsia" w:ascii="宋体" w:hAnsi="宋体"/>
          <w:color w:val="000000" w:themeColor="text1"/>
          <w:szCs w:val="24"/>
          <w14:textFill>
            <w14:solidFill>
              <w14:schemeClr w14:val="tx1"/>
            </w14:solidFill>
          </w14:textFill>
        </w:rPr>
        <w:t>学分；专业基础课2</w:t>
      </w:r>
      <w:r>
        <w:rPr>
          <w:rFonts w:ascii="宋体" w:hAnsi="宋体"/>
          <w:color w:val="000000" w:themeColor="text1"/>
          <w:szCs w:val="24"/>
          <w14:textFill>
            <w14:solidFill>
              <w14:schemeClr w14:val="tx1"/>
            </w14:solidFill>
          </w14:textFill>
        </w:rPr>
        <w:t>4</w:t>
      </w:r>
      <w:r>
        <w:rPr>
          <w:rFonts w:hint="eastAsia" w:ascii="宋体" w:hAnsi="宋体"/>
          <w:color w:val="000000" w:themeColor="text1"/>
          <w:szCs w:val="24"/>
          <w14:textFill>
            <w14:solidFill>
              <w14:schemeClr w14:val="tx1"/>
            </w14:solidFill>
          </w14:textFill>
        </w:rPr>
        <w:t>个学分，专业核心课3</w:t>
      </w:r>
      <w:r>
        <w:rPr>
          <w:rFonts w:ascii="宋体" w:hAnsi="宋体"/>
          <w:color w:val="000000" w:themeColor="text1"/>
          <w:szCs w:val="24"/>
          <w14:textFill>
            <w14:solidFill>
              <w14:schemeClr w14:val="tx1"/>
            </w14:solidFill>
          </w14:textFill>
        </w:rPr>
        <w:t>2</w:t>
      </w:r>
      <w:r>
        <w:rPr>
          <w:rFonts w:hint="eastAsia" w:ascii="宋体" w:hAnsi="宋体"/>
          <w:color w:val="000000" w:themeColor="text1"/>
          <w:szCs w:val="24"/>
          <w14:textFill>
            <w14:solidFill>
              <w14:schemeClr w14:val="tx1"/>
            </w14:solidFill>
          </w14:textFill>
        </w:rPr>
        <w:t>学分；专业拓展课</w:t>
      </w:r>
      <w:r>
        <w:rPr>
          <w:rFonts w:ascii="宋体" w:hAnsi="宋体"/>
          <w:color w:val="000000" w:themeColor="text1"/>
          <w:szCs w:val="24"/>
          <w14:textFill>
            <w14:solidFill>
              <w14:schemeClr w14:val="tx1"/>
            </w14:solidFill>
          </w14:textFill>
        </w:rPr>
        <w:t>10</w:t>
      </w:r>
      <w:r>
        <w:rPr>
          <w:rFonts w:hint="eastAsia" w:ascii="宋体" w:hAnsi="宋体"/>
          <w:color w:val="000000" w:themeColor="text1"/>
          <w:szCs w:val="24"/>
          <w14:textFill>
            <w14:solidFill>
              <w14:schemeClr w14:val="tx1"/>
            </w14:solidFill>
          </w14:textFill>
        </w:rPr>
        <w:t>学分（学生参加创新创业大赛获奖或以第一作者发表相关学术论文可折算专业选修学分）；集中实践实训</w:t>
      </w:r>
      <w:r>
        <w:rPr>
          <w:rFonts w:ascii="宋体" w:hAnsi="宋体"/>
          <w:color w:val="000000" w:themeColor="text1"/>
          <w:szCs w:val="24"/>
          <w14:textFill>
            <w14:solidFill>
              <w14:schemeClr w14:val="tx1"/>
            </w14:solidFill>
          </w14:textFill>
        </w:rPr>
        <w:t>41</w:t>
      </w:r>
      <w:r>
        <w:rPr>
          <w:rFonts w:hint="eastAsia" w:ascii="宋体" w:hAnsi="宋体"/>
          <w:color w:val="000000" w:themeColor="text1"/>
          <w:szCs w:val="24"/>
          <w14:textFill>
            <w14:solidFill>
              <w14:schemeClr w14:val="tx1"/>
            </w14:solidFill>
          </w14:textFill>
        </w:rPr>
        <w:t>学分（假期专业实践、宠物疾病临床诊疗技术技能训练与考核、顶岗实习）。</w:t>
      </w:r>
    </w:p>
    <w:p>
      <w:pPr>
        <w:ind w:firstLine="48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本专业必须修满</w:t>
      </w:r>
      <w:r>
        <w:rPr>
          <w:rFonts w:ascii="宋体" w:hAnsi="宋体"/>
          <w:color w:val="000000" w:themeColor="text1"/>
          <w:szCs w:val="24"/>
          <w14:textFill>
            <w14:solidFill>
              <w14:schemeClr w14:val="tx1"/>
            </w14:solidFill>
          </w14:textFill>
        </w:rPr>
        <w:t>142</w:t>
      </w:r>
      <w:r>
        <w:rPr>
          <w:rFonts w:hint="eastAsia" w:ascii="宋体" w:hAnsi="宋体"/>
          <w:color w:val="000000" w:themeColor="text1"/>
          <w:szCs w:val="24"/>
          <w14:textFill>
            <w14:solidFill>
              <w14:schemeClr w14:val="tx1"/>
            </w14:solidFill>
          </w14:textFill>
        </w:rPr>
        <w:t>学分，包括公共基础课</w:t>
      </w:r>
      <w:r>
        <w:rPr>
          <w:rFonts w:ascii="宋体" w:hAnsi="宋体"/>
          <w:color w:val="000000" w:themeColor="text1"/>
          <w:szCs w:val="24"/>
          <w14:textFill>
            <w14:solidFill>
              <w14:schemeClr w14:val="tx1"/>
            </w14:solidFill>
          </w14:textFill>
        </w:rPr>
        <w:t>37</w:t>
      </w:r>
      <w:r>
        <w:rPr>
          <w:rFonts w:hint="eastAsia" w:ascii="宋体" w:hAnsi="宋体"/>
          <w:color w:val="000000" w:themeColor="text1"/>
          <w:szCs w:val="24"/>
          <w14:textFill>
            <w14:solidFill>
              <w14:schemeClr w14:val="tx1"/>
            </w14:solidFill>
          </w14:textFill>
        </w:rPr>
        <w:t>学分、专业基础课2</w:t>
      </w:r>
      <w:r>
        <w:rPr>
          <w:rFonts w:ascii="宋体" w:hAnsi="宋体"/>
          <w:color w:val="000000" w:themeColor="text1"/>
          <w:szCs w:val="24"/>
          <w14:textFill>
            <w14:solidFill>
              <w14:schemeClr w14:val="tx1"/>
            </w14:solidFill>
          </w14:textFill>
        </w:rPr>
        <w:t>4</w:t>
      </w:r>
      <w:r>
        <w:rPr>
          <w:rFonts w:hint="eastAsia" w:ascii="宋体" w:hAnsi="宋体"/>
          <w:color w:val="000000" w:themeColor="text1"/>
          <w:szCs w:val="24"/>
          <w14:textFill>
            <w14:solidFill>
              <w14:schemeClr w14:val="tx1"/>
            </w14:solidFill>
          </w14:textFill>
        </w:rPr>
        <w:t>学分、专业核心课3</w:t>
      </w:r>
      <w:r>
        <w:rPr>
          <w:rFonts w:ascii="宋体" w:hAnsi="宋体"/>
          <w:color w:val="000000" w:themeColor="text1"/>
          <w:szCs w:val="24"/>
          <w14:textFill>
            <w14:solidFill>
              <w14:schemeClr w14:val="tx1"/>
            </w14:solidFill>
          </w14:textFill>
        </w:rPr>
        <w:t>2</w:t>
      </w:r>
      <w:r>
        <w:rPr>
          <w:rFonts w:hint="eastAsia" w:ascii="宋体" w:hAnsi="宋体"/>
          <w:color w:val="000000" w:themeColor="text1"/>
          <w:szCs w:val="24"/>
          <w14:textFill>
            <w14:solidFill>
              <w14:schemeClr w14:val="tx1"/>
            </w14:solidFill>
          </w14:textFill>
        </w:rPr>
        <w:t>学分、专业拓展课</w:t>
      </w:r>
      <w:r>
        <w:rPr>
          <w:rFonts w:ascii="宋体" w:hAnsi="宋体"/>
          <w:color w:val="000000" w:themeColor="text1"/>
          <w:szCs w:val="24"/>
          <w14:textFill>
            <w14:solidFill>
              <w14:schemeClr w14:val="tx1"/>
            </w14:solidFill>
          </w14:textFill>
        </w:rPr>
        <w:t>8</w:t>
      </w:r>
      <w:r>
        <w:rPr>
          <w:rFonts w:hint="eastAsia" w:ascii="宋体" w:hAnsi="宋体"/>
          <w:color w:val="000000" w:themeColor="text1"/>
          <w:szCs w:val="24"/>
          <w14:textFill>
            <w14:solidFill>
              <w14:schemeClr w14:val="tx1"/>
            </w14:solidFill>
          </w14:textFill>
        </w:rPr>
        <w:t>学分、集中实践实训</w:t>
      </w:r>
      <w:r>
        <w:rPr>
          <w:rFonts w:ascii="宋体" w:hAnsi="宋体"/>
          <w:color w:val="000000" w:themeColor="text1"/>
          <w:szCs w:val="24"/>
          <w14:textFill>
            <w14:solidFill>
              <w14:schemeClr w14:val="tx1"/>
            </w14:solidFill>
          </w14:textFill>
        </w:rPr>
        <w:t>41</w:t>
      </w:r>
      <w:r>
        <w:rPr>
          <w:rFonts w:hint="eastAsia" w:ascii="宋体" w:hAnsi="宋体"/>
          <w:color w:val="000000" w:themeColor="text1"/>
          <w:szCs w:val="24"/>
          <w14:textFill>
            <w14:solidFill>
              <w14:schemeClr w14:val="tx1"/>
            </w14:solidFill>
          </w14:textFill>
        </w:rPr>
        <w:t>学分。</w:t>
      </w:r>
    </w:p>
    <w:p>
      <w:pPr>
        <w:pStyle w:val="31"/>
        <w:spacing w:line="430" w:lineRule="exact"/>
        <w:ind w:left="420" w:firstLine="0" w:firstLineChars="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（二）</w:t>
      </w:r>
      <w:r>
        <w:rPr>
          <w:rFonts w:ascii="宋体" w:hAnsi="宋体"/>
          <w:color w:val="000000" w:themeColor="text1"/>
          <w:szCs w:val="24"/>
          <w14:textFill>
            <w14:solidFill>
              <w14:schemeClr w14:val="tx1"/>
            </w14:solidFill>
          </w14:textFill>
        </w:rPr>
        <w:t>毕业考试</w:t>
      </w:r>
      <w:r>
        <w:rPr>
          <w:rFonts w:hint="eastAsia" w:ascii="宋体" w:hAnsi="宋体"/>
          <w:color w:val="000000" w:themeColor="text1"/>
          <w:szCs w:val="24"/>
          <w14:textFill>
            <w14:solidFill>
              <w14:schemeClr w14:val="tx1"/>
            </w14:solidFill>
          </w14:textFill>
        </w:rPr>
        <w:t>要求</w:t>
      </w:r>
      <w:r>
        <w:rPr>
          <w:rFonts w:ascii="宋体" w:hAnsi="宋体"/>
          <w:color w:val="000000" w:themeColor="text1"/>
          <w:szCs w:val="24"/>
          <w14:textFill>
            <w14:solidFill>
              <w14:schemeClr w14:val="tx1"/>
            </w14:solidFill>
          </w14:textFill>
        </w:rPr>
        <w:t>（</w:t>
      </w:r>
      <w:r>
        <w:rPr>
          <w:rFonts w:hint="eastAsia" w:ascii="宋体" w:hAnsi="宋体"/>
          <w:color w:val="000000" w:themeColor="text1"/>
          <w:szCs w:val="24"/>
          <w14:textFill>
            <w14:solidFill>
              <w14:schemeClr w14:val="tx1"/>
            </w14:solidFill>
          </w14:textFill>
        </w:rPr>
        <w:t>分技能和理论两部分）</w:t>
      </w:r>
    </w:p>
    <w:p>
      <w:pPr>
        <w:ind w:firstLine="480"/>
        <w:rPr>
          <w:rFonts w:ascii="宋体" w:hAnsi="宋体"/>
          <w:color w:val="000000" w:themeColor="text1"/>
          <w:szCs w:val="24"/>
          <w14:textFill>
            <w14:solidFill>
              <w14:schemeClr w14:val="tx1"/>
            </w14:solidFill>
          </w14:textFill>
        </w:rPr>
      </w:pPr>
      <w:bookmarkStart w:id="1" w:name="OLE_LINK7"/>
      <w:r>
        <w:rPr>
          <w:rFonts w:hint="eastAsia" w:ascii="宋体" w:hAnsi="宋体"/>
          <w:color w:val="000000" w:themeColor="text1"/>
          <w:szCs w:val="24"/>
          <w14:textFill>
            <w14:solidFill>
              <w14:schemeClr w14:val="tx1"/>
            </w14:solidFill>
          </w14:textFill>
        </w:rPr>
        <w:t>1.技能考试</w:t>
      </w:r>
      <w:bookmarkEnd w:id="1"/>
      <w:r>
        <w:rPr>
          <w:rFonts w:hint="eastAsia" w:ascii="宋体" w:hAnsi="宋体"/>
          <w:color w:val="000000" w:themeColor="text1"/>
          <w:szCs w:val="24"/>
          <w14:textFill>
            <w14:solidFill>
              <w14:schemeClr w14:val="tx1"/>
            </w14:solidFill>
          </w14:textFill>
        </w:rPr>
        <w:t>：按照执业兽医师实践技能考试要求，主要包括小动物解剖技能，临床诊断技能、实验室诊断分析技能、常见的基本手术技能、基本影像诊断技能等临床综合技能。</w:t>
      </w:r>
    </w:p>
    <w:p>
      <w:pPr>
        <w:ind w:firstLine="480"/>
        <w:rPr>
          <w:rFonts w:ascii="宋体" w:hAnsi="宋体" w:cs="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2.理论考试：按照</w:t>
      </w:r>
      <w:r>
        <w:rPr>
          <w:rFonts w:ascii="宋体" w:hAnsi="宋体"/>
          <w:color w:val="000000" w:themeColor="text1"/>
          <w:szCs w:val="24"/>
          <w14:textFill>
            <w14:solidFill>
              <w14:schemeClr w14:val="tx1"/>
            </w14:solidFill>
          </w14:textFill>
        </w:rPr>
        <w:t>兽医全科类</w:t>
      </w:r>
      <w:r>
        <w:rPr>
          <w:rFonts w:hint="eastAsia" w:ascii="宋体" w:hAnsi="宋体"/>
          <w:color w:val="000000" w:themeColor="text1"/>
          <w:szCs w:val="24"/>
          <w14:textFill>
            <w14:solidFill>
              <w14:schemeClr w14:val="tx1"/>
            </w14:solidFill>
          </w14:textFill>
        </w:rPr>
        <w:t>执业兽医师资格证考试要求，分</w:t>
      </w:r>
      <w:bookmarkStart w:id="2" w:name="OLE_LINK20"/>
      <w:bookmarkStart w:id="3" w:name="OLE_LINK19"/>
      <w:r>
        <w:rPr>
          <w:rFonts w:ascii="宋体" w:hAnsi="宋体"/>
          <w:color w:val="000000" w:themeColor="text1"/>
          <w:szCs w:val="24"/>
          <w14:textFill>
            <w14:solidFill>
              <w14:schemeClr w14:val="tx1"/>
            </w14:solidFill>
          </w14:textFill>
        </w:rPr>
        <w:t>基础</w:t>
      </w:r>
      <w:r>
        <w:rPr>
          <w:rFonts w:hint="eastAsia" w:ascii="宋体" w:hAnsi="宋体"/>
          <w:color w:val="000000" w:themeColor="text1"/>
          <w:szCs w:val="24"/>
          <w14:textFill>
            <w14:solidFill>
              <w14:schemeClr w14:val="tx1"/>
            </w14:solidFill>
          </w14:textFill>
        </w:rPr>
        <w:t>、</w:t>
      </w:r>
      <w:r>
        <w:rPr>
          <w:rFonts w:ascii="宋体" w:hAnsi="宋体"/>
          <w:color w:val="000000" w:themeColor="text1"/>
          <w:szCs w:val="24"/>
          <w14:textFill>
            <w14:solidFill>
              <w14:schemeClr w14:val="tx1"/>
            </w14:solidFill>
          </w14:textFill>
        </w:rPr>
        <w:t>临床</w:t>
      </w:r>
      <w:r>
        <w:rPr>
          <w:rFonts w:hint="eastAsia" w:ascii="宋体" w:hAnsi="宋体"/>
          <w:color w:val="000000" w:themeColor="text1"/>
          <w:szCs w:val="24"/>
          <w14:textFill>
            <w14:solidFill>
              <w14:schemeClr w14:val="tx1"/>
            </w14:solidFill>
          </w14:textFill>
        </w:rPr>
        <w:t>、预防和</w:t>
      </w:r>
      <w:r>
        <w:rPr>
          <w:rFonts w:ascii="宋体" w:hAnsi="宋体"/>
          <w:color w:val="000000" w:themeColor="text1"/>
          <w:szCs w:val="24"/>
          <w14:textFill>
            <w14:solidFill>
              <w14:schemeClr w14:val="tx1"/>
            </w14:solidFill>
          </w14:textFill>
        </w:rPr>
        <w:t>综合应用</w:t>
      </w:r>
      <w:bookmarkEnd w:id="2"/>
      <w:bookmarkEnd w:id="3"/>
      <w:r>
        <w:rPr>
          <w:rFonts w:hint="eastAsia" w:ascii="宋体" w:hAnsi="宋体"/>
          <w:color w:val="000000" w:themeColor="text1"/>
          <w:szCs w:val="24"/>
          <w14:textFill>
            <w14:solidFill>
              <w14:schemeClr w14:val="tx1"/>
            </w14:solidFill>
          </w14:textFill>
        </w:rPr>
        <w:t>。</w:t>
      </w:r>
    </w:p>
    <w:p>
      <w:pPr>
        <w:ind w:firstLine="480"/>
        <w:rPr>
          <w:rFonts w:ascii="宋体" w:hAnsi="宋体" w:cs="宋体"/>
          <w:color w:val="000000" w:themeColor="text1"/>
          <w:szCs w:val="24"/>
          <w14:textFill>
            <w14:solidFill>
              <w14:schemeClr w14:val="tx1"/>
            </w14:solidFill>
          </w14:textFill>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418" w:header="851" w:footer="992" w:gutter="0"/>
          <w:cols w:space="720" w:num="1"/>
          <w:docGrid w:type="lines" w:linePitch="312" w:charSpace="0"/>
        </w:sectPr>
      </w:pPr>
      <w:r>
        <w:rPr>
          <w:rFonts w:hint="eastAsia" w:ascii="宋体" w:hAnsi="宋体" w:cs="宋体"/>
          <w:color w:val="000000" w:themeColor="text1"/>
          <w:szCs w:val="24"/>
          <w14:textFill>
            <w14:solidFill>
              <w14:schemeClr w14:val="tx1"/>
            </w14:solidFill>
          </w14:textFill>
        </w:rPr>
        <w:t xml:space="preserve">  </w:t>
      </w:r>
    </w:p>
    <w:p>
      <w:pPr>
        <w:spacing w:before="159" w:beforeLines="50" w:after="159" w:afterLines="50"/>
        <w:ind w:firstLine="0" w:firstLineChars="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附表一                         </w:t>
      </w:r>
    </w:p>
    <w:p>
      <w:pPr>
        <w:spacing w:before="159" w:beforeLines="50" w:after="159" w:afterLines="50"/>
        <w:ind w:firstLine="0" w:firstLineChars="0"/>
        <w:jc w:val="cente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教学进程安排表</w:t>
      </w:r>
    </w:p>
    <w:tbl>
      <w:tblPr>
        <w:tblStyle w:val="12"/>
        <w:tblW w:w="13838" w:type="dxa"/>
        <w:jc w:val="center"/>
        <w:tblLayout w:type="fixed"/>
        <w:tblCellMar>
          <w:top w:w="0" w:type="dxa"/>
          <w:left w:w="108" w:type="dxa"/>
          <w:bottom w:w="0" w:type="dxa"/>
          <w:right w:w="108" w:type="dxa"/>
        </w:tblCellMar>
      </w:tblPr>
      <w:tblGrid>
        <w:gridCol w:w="454"/>
        <w:gridCol w:w="340"/>
        <w:gridCol w:w="422"/>
        <w:gridCol w:w="1165"/>
        <w:gridCol w:w="3969"/>
        <w:gridCol w:w="624"/>
        <w:gridCol w:w="624"/>
        <w:gridCol w:w="624"/>
        <w:gridCol w:w="624"/>
        <w:gridCol w:w="624"/>
        <w:gridCol w:w="624"/>
        <w:gridCol w:w="624"/>
        <w:gridCol w:w="624"/>
        <w:gridCol w:w="624"/>
        <w:gridCol w:w="624"/>
        <w:gridCol w:w="624"/>
        <w:gridCol w:w="624"/>
      </w:tblGrid>
      <w:tr>
        <w:tblPrEx>
          <w:tblCellMar>
            <w:top w:w="0" w:type="dxa"/>
            <w:left w:w="108" w:type="dxa"/>
            <w:bottom w:w="0" w:type="dxa"/>
            <w:right w:w="108" w:type="dxa"/>
          </w:tblCellMar>
        </w:tblPrEx>
        <w:trPr>
          <w:trHeight w:val="20" w:hRule="atLeast"/>
          <w:jc w:val="center"/>
        </w:trPr>
        <w:tc>
          <w:tcPr>
            <w:tcW w:w="454"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序号</w:t>
            </w:r>
          </w:p>
        </w:tc>
        <w:tc>
          <w:tcPr>
            <w:tcW w:w="762" w:type="dxa"/>
            <w:gridSpan w:val="2"/>
            <w:vMerge w:val="restart"/>
            <w:tcBorders>
              <w:top w:val="single" w:color="auto" w:sz="4" w:space="0"/>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课程</w:t>
            </w:r>
          </w:p>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类别</w:t>
            </w:r>
          </w:p>
        </w:tc>
        <w:tc>
          <w:tcPr>
            <w:tcW w:w="1165" w:type="dxa"/>
            <w:vMerge w:val="restart"/>
            <w:tcBorders>
              <w:top w:val="single" w:color="auto" w:sz="4" w:space="0"/>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课程</w:t>
            </w:r>
          </w:p>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代码</w:t>
            </w:r>
          </w:p>
        </w:tc>
        <w:tc>
          <w:tcPr>
            <w:tcW w:w="3969"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课 程 名 称</w:t>
            </w:r>
          </w:p>
        </w:tc>
        <w:tc>
          <w:tcPr>
            <w:tcW w:w="624"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学分</w:t>
            </w:r>
          </w:p>
        </w:tc>
        <w:tc>
          <w:tcPr>
            <w:tcW w:w="624"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考试</w:t>
            </w:r>
          </w:p>
        </w:tc>
        <w:tc>
          <w:tcPr>
            <w:tcW w:w="624"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考查</w:t>
            </w:r>
          </w:p>
        </w:tc>
        <w:tc>
          <w:tcPr>
            <w:tcW w:w="624"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总学时</w:t>
            </w:r>
          </w:p>
        </w:tc>
        <w:tc>
          <w:tcPr>
            <w:tcW w:w="4992" w:type="dxa"/>
            <w:gridSpan w:val="8"/>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周学时分布</w:t>
            </w:r>
          </w:p>
        </w:tc>
      </w:tr>
      <w:tr>
        <w:tblPrEx>
          <w:tblCellMar>
            <w:top w:w="0" w:type="dxa"/>
            <w:left w:w="108" w:type="dxa"/>
            <w:bottom w:w="0" w:type="dxa"/>
            <w:right w:w="108" w:type="dxa"/>
          </w:tblCellMar>
        </w:tblPrEx>
        <w:trPr>
          <w:trHeight w:val="20" w:hRule="atLeast"/>
          <w:jc w:val="center"/>
        </w:trPr>
        <w:tc>
          <w:tcPr>
            <w:tcW w:w="454"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762" w:type="dxa"/>
            <w:gridSpan w:val="2"/>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1165" w:type="dxa"/>
            <w:vMerge w:val="continue"/>
            <w:tcBorders>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3969"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理论</w:t>
            </w:r>
          </w:p>
        </w:tc>
        <w:tc>
          <w:tcPr>
            <w:tcW w:w="624"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实践</w:t>
            </w:r>
          </w:p>
        </w:tc>
        <w:tc>
          <w:tcPr>
            <w:tcW w:w="1248"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textAlignment w:val="center"/>
              <w:rPr>
                <w:rFonts w:ascii="宋体" w:hAnsi="宋体" w:cs="宋体"/>
                <w:b/>
                <w:color w:val="000000" w:themeColor="text1"/>
                <w:sz w:val="18"/>
                <w:szCs w:val="18"/>
                <w14:textFill>
                  <w14:solidFill>
                    <w14:schemeClr w14:val="tx1"/>
                  </w14:solidFill>
                </w14:textFill>
              </w:rPr>
            </w:pPr>
            <w:r>
              <w:rPr>
                <w:rStyle w:val="26"/>
                <w:rFonts w:hint="default"/>
                <w:b/>
                <w:color w:val="000000" w:themeColor="text1"/>
                <w14:textFill>
                  <w14:solidFill>
                    <w14:schemeClr w14:val="tx1"/>
                  </w14:solidFill>
                </w14:textFill>
              </w:rPr>
              <w:t>第一学年</w:t>
            </w:r>
          </w:p>
        </w:tc>
        <w:tc>
          <w:tcPr>
            <w:tcW w:w="1248"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textAlignment w:val="center"/>
              <w:rPr>
                <w:rFonts w:ascii="宋体" w:hAnsi="宋体" w:cs="宋体"/>
                <w:b/>
                <w:color w:val="000000" w:themeColor="text1"/>
                <w:sz w:val="18"/>
                <w:szCs w:val="18"/>
                <w14:textFill>
                  <w14:solidFill>
                    <w14:schemeClr w14:val="tx1"/>
                  </w14:solidFill>
                </w14:textFill>
              </w:rPr>
            </w:pPr>
            <w:r>
              <w:rPr>
                <w:rStyle w:val="26"/>
                <w:rFonts w:hint="default"/>
                <w:b/>
                <w:color w:val="000000" w:themeColor="text1"/>
                <w14:textFill>
                  <w14:solidFill>
                    <w14:schemeClr w14:val="tx1"/>
                  </w14:solidFill>
                </w14:textFill>
              </w:rPr>
              <w:t>第二学年</w:t>
            </w:r>
          </w:p>
        </w:tc>
        <w:tc>
          <w:tcPr>
            <w:tcW w:w="1248"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textAlignment w:val="center"/>
              <w:rPr>
                <w:rFonts w:ascii="宋体" w:hAnsi="宋体" w:cs="宋体"/>
                <w:b/>
                <w:color w:val="000000" w:themeColor="text1"/>
                <w:sz w:val="18"/>
                <w:szCs w:val="18"/>
                <w14:textFill>
                  <w14:solidFill>
                    <w14:schemeClr w14:val="tx1"/>
                  </w14:solidFill>
                </w14:textFill>
              </w:rPr>
            </w:pPr>
            <w:r>
              <w:rPr>
                <w:rStyle w:val="26"/>
                <w:rFonts w:hint="default"/>
                <w:b/>
                <w:color w:val="000000" w:themeColor="text1"/>
                <w14:textFill>
                  <w14:solidFill>
                    <w14:schemeClr w14:val="tx1"/>
                  </w14:solidFill>
                </w14:textFill>
              </w:rPr>
              <w:t>第三学年</w:t>
            </w:r>
          </w:p>
        </w:tc>
      </w:tr>
      <w:tr>
        <w:tblPrEx>
          <w:tblCellMar>
            <w:top w:w="0" w:type="dxa"/>
            <w:left w:w="108" w:type="dxa"/>
            <w:bottom w:w="0" w:type="dxa"/>
            <w:right w:w="108" w:type="dxa"/>
          </w:tblCellMar>
        </w:tblPrEx>
        <w:trPr>
          <w:trHeight w:val="20" w:hRule="atLeast"/>
          <w:jc w:val="center"/>
        </w:trPr>
        <w:tc>
          <w:tcPr>
            <w:tcW w:w="454"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762" w:type="dxa"/>
            <w:gridSpan w:val="2"/>
            <w:vMerge w:val="continue"/>
            <w:tcBorders>
              <w:left w:val="single" w:color="auto" w:sz="4" w:space="0"/>
              <w:bottom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1165" w:type="dxa"/>
            <w:vMerge w:val="continue"/>
            <w:tcBorders>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3969"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3</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5</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6</w:t>
            </w: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bookmarkStart w:id="4" w:name="_Hlk16796983"/>
            <w:r>
              <w:rPr>
                <w:rFonts w:hint="eastAsia" w:ascii="宋体" w:hAnsi="宋体" w:cs="宋体"/>
                <w:color w:val="000000" w:themeColor="text1"/>
                <w:kern w:val="0"/>
                <w:sz w:val="18"/>
                <w:szCs w:val="18"/>
                <w14:textFill>
                  <w14:solidFill>
                    <w14:schemeClr w14:val="tx1"/>
                  </w14:solidFill>
                </w14:textFill>
              </w:rPr>
              <w:t>1</w:t>
            </w:r>
          </w:p>
        </w:tc>
        <w:tc>
          <w:tcPr>
            <w:tcW w:w="340" w:type="dxa"/>
            <w:vMerge w:val="restart"/>
            <w:tcBorders>
              <w:top w:val="single" w:color="auto" w:sz="4" w:space="0"/>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公共课程</w:t>
            </w:r>
          </w:p>
        </w:tc>
        <w:tc>
          <w:tcPr>
            <w:tcW w:w="422"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公共基础必修课</w:t>
            </w: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9901001</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思想道德修养与法律基础</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54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1248" w:type="dxa"/>
            <w:gridSpan w:val="2"/>
            <w:vMerge w:val="restart"/>
            <w:tcBorders>
              <w:top w:val="single" w:color="auto" w:sz="4" w:space="0"/>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宠物医院临床实习</w:t>
            </w:r>
          </w:p>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p>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9901002</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形势与政策</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9901003</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毛泽东思想与中国特色社会主义理论体系概论</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72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64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9901004</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大学生职业发展与就业指导</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9901005</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大学生创新创业基础</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9901006</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军事理论</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7</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9901007</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军事技能</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112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112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9901008</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体育与劳动</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1-4</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144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132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9901009</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高职英语</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10</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9901010</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信息技术基础</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11</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9901011</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中国传统文化</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12</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9901012</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心理健康教育</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bookmarkEnd w:id="4"/>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422"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小计</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37</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738</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378</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360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sz w:val="18"/>
                <w:szCs w:val="18"/>
                <w14:textFill>
                  <w14:solidFill>
                    <w14:schemeClr w14:val="tx1"/>
                  </w14:solidFill>
                </w14:textFill>
              </w:rPr>
            </w:pPr>
            <w:r>
              <w:rPr>
                <w:rFonts w:ascii="宋体" w:hAnsi="宋体"/>
                <w:b/>
                <w:color w:val="000000" w:themeColor="text1"/>
                <w:sz w:val="18"/>
                <w:szCs w:val="18"/>
                <w14:textFill>
                  <w14:solidFill>
                    <w14:schemeClr w14:val="tx1"/>
                  </w14:solidFill>
                </w14:textFill>
              </w:rPr>
              <w:t>13</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sz w:val="18"/>
                <w:szCs w:val="18"/>
                <w14:textFill>
                  <w14:solidFill>
                    <w14:schemeClr w14:val="tx1"/>
                  </w14:solidFill>
                </w14:textFill>
              </w:rPr>
              <w:t>12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4</w:t>
            </w: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bookmarkStart w:id="5" w:name="_Hlk16797977"/>
            <w:r>
              <w:rPr>
                <w:rFonts w:hint="eastAsia" w:ascii="宋体" w:hAnsi="宋体" w:cs="宋体"/>
                <w:color w:val="000000" w:themeColor="text1"/>
                <w:kern w:val="0"/>
                <w:sz w:val="18"/>
                <w:szCs w:val="18"/>
                <w14:textFill>
                  <w14:solidFill>
                    <w14:schemeClr w14:val="tx1"/>
                  </w14:solidFill>
                </w14:textFill>
              </w:rPr>
              <w:t>13</w:t>
            </w:r>
          </w:p>
        </w:tc>
        <w:tc>
          <w:tcPr>
            <w:tcW w:w="340" w:type="dxa"/>
            <w:vMerge w:val="restart"/>
            <w:tcBorders>
              <w:top w:val="single" w:color="auto" w:sz="4" w:space="0"/>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专业课程</w:t>
            </w:r>
          </w:p>
        </w:tc>
        <w:tc>
          <w:tcPr>
            <w:tcW w:w="422" w:type="dxa"/>
            <w:vMerge w:val="restart"/>
            <w:tcBorders>
              <w:top w:val="single" w:color="auto" w:sz="4" w:space="0"/>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专业基础课</w:t>
            </w: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51031501</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宠物解剖生理</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14</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51031502</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动物生物化学</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50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15</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51031503</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宠物病理</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bookmarkEnd w:id="5"/>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16</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shd w:val="clear" w:color="auto" w:fill="auto"/>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51031504</w:t>
            </w:r>
          </w:p>
        </w:tc>
        <w:tc>
          <w:tcPr>
            <w:tcW w:w="396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宠物药理</w:t>
            </w:r>
          </w:p>
        </w:tc>
        <w:tc>
          <w:tcPr>
            <w:tcW w:w="624"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72</w:t>
            </w:r>
          </w:p>
        </w:tc>
        <w:tc>
          <w:tcPr>
            <w:tcW w:w="624"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66</w:t>
            </w:r>
          </w:p>
        </w:tc>
        <w:tc>
          <w:tcPr>
            <w:tcW w:w="624"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w:t>
            </w:r>
          </w:p>
        </w:tc>
        <w:tc>
          <w:tcPr>
            <w:tcW w:w="624"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9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17</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51031505</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动物微生物与免疫技术</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18</w:t>
            </w:r>
          </w:p>
        </w:tc>
        <w:tc>
          <w:tcPr>
            <w:tcW w:w="340" w:type="dxa"/>
            <w:vMerge w:val="continue"/>
            <w:tcBorders>
              <w:left w:val="single" w:color="auto" w:sz="4" w:space="0"/>
              <w:right w:val="single" w:color="auto" w:sz="4" w:space="0"/>
            </w:tcBorders>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51031506</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小动物影像技术</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168"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422" w:type="dxa"/>
            <w:vMerge w:val="continue"/>
            <w:tcBorders>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小计</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2</w:t>
            </w:r>
            <w:r>
              <w:rPr>
                <w:rFonts w:ascii="宋体" w:hAnsi="宋体" w:cs="宋体"/>
                <w:b/>
                <w:bCs/>
                <w:color w:val="000000" w:themeColor="text1"/>
                <w:kern w:val="0"/>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4</w:t>
            </w:r>
            <w:r>
              <w:rPr>
                <w:rFonts w:ascii="宋体" w:hAnsi="宋体" w:cs="宋体"/>
                <w:b/>
                <w:bCs/>
                <w:color w:val="000000" w:themeColor="text1"/>
                <w:kern w:val="0"/>
                <w:sz w:val="18"/>
                <w:szCs w:val="18"/>
                <w14:textFill>
                  <w14:solidFill>
                    <w14:schemeClr w14:val="tx1"/>
                  </w14:solidFill>
                </w14:textFill>
              </w:rPr>
              <w:t>32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342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90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12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19</w:t>
            </w:r>
          </w:p>
        </w:tc>
        <w:tc>
          <w:tcPr>
            <w:tcW w:w="340" w:type="dxa"/>
            <w:vMerge w:val="continue"/>
            <w:tcBorders>
              <w:left w:val="single" w:color="auto" w:sz="4" w:space="0"/>
              <w:right w:val="single" w:color="auto" w:sz="4" w:space="0"/>
            </w:tcBorders>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restart"/>
            <w:tcBorders>
              <w:top w:val="single" w:color="auto" w:sz="4" w:space="0"/>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专业核心课</w:t>
            </w: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51031507</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宠物疾病临床诊疗技术</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54</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20</w:t>
            </w:r>
          </w:p>
        </w:tc>
        <w:tc>
          <w:tcPr>
            <w:tcW w:w="340" w:type="dxa"/>
            <w:vMerge w:val="continue"/>
            <w:tcBorders>
              <w:left w:val="single" w:color="auto" w:sz="4" w:space="0"/>
              <w:right w:val="single" w:color="auto" w:sz="4" w:space="0"/>
            </w:tcBorders>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51031508</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宠物内科病</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21</w:t>
            </w:r>
          </w:p>
        </w:tc>
        <w:tc>
          <w:tcPr>
            <w:tcW w:w="340" w:type="dxa"/>
            <w:vMerge w:val="continue"/>
            <w:tcBorders>
              <w:left w:val="single" w:color="auto" w:sz="4" w:space="0"/>
              <w:right w:val="single" w:color="auto" w:sz="4" w:space="0"/>
            </w:tcBorders>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51031509</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宠物传染病</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22</w:t>
            </w:r>
          </w:p>
        </w:tc>
        <w:tc>
          <w:tcPr>
            <w:tcW w:w="340" w:type="dxa"/>
            <w:vMerge w:val="continue"/>
            <w:tcBorders>
              <w:left w:val="single" w:color="auto" w:sz="4" w:space="0"/>
              <w:right w:val="single" w:color="auto" w:sz="4" w:space="0"/>
            </w:tcBorders>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51031510</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宠物寄生虫病</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r>
              <w:rPr>
                <w:rFonts w:ascii="宋体" w:hAnsi="宋体" w:cs="宋体"/>
                <w:color w:val="000000" w:themeColor="text1"/>
                <w:sz w:val="18"/>
                <w:szCs w:val="18"/>
                <w14:textFill>
                  <w14:solidFill>
                    <w14:schemeClr w14:val="tx1"/>
                  </w14:solidFill>
                </w14:textFill>
              </w:rPr>
              <w:t>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w:t>
            </w: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23</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51031511</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宠物皮肤病与营养代谢</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24</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51031512</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宠物外科与产科</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54</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w:t>
            </w: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25</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51031513</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宠物养护与疾病防治</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72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w:t>
            </w: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422" w:type="dxa"/>
            <w:vMerge w:val="continue"/>
            <w:tcBorders>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小计</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3</w:t>
            </w:r>
            <w:r>
              <w:rPr>
                <w:rFonts w:ascii="宋体" w:hAnsi="宋体" w:cs="宋体"/>
                <w:b/>
                <w:color w:val="000000" w:themeColor="text1"/>
                <w:kern w:val="0"/>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5</w:t>
            </w:r>
            <w:r>
              <w:rPr>
                <w:rFonts w:ascii="宋体" w:hAnsi="宋体" w:cs="宋体"/>
                <w:b/>
                <w:color w:val="000000" w:themeColor="text1"/>
                <w:sz w:val="18"/>
                <w:szCs w:val="18"/>
                <w14:textFill>
                  <w14:solidFill>
                    <w14:schemeClr w14:val="tx1"/>
                  </w14:solidFill>
                </w14:textFill>
              </w:rPr>
              <w:t>76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3</w:t>
            </w:r>
            <w:r>
              <w:rPr>
                <w:rFonts w:ascii="宋体" w:hAnsi="宋体" w:cs="宋体"/>
                <w:b/>
                <w:color w:val="000000" w:themeColor="text1"/>
                <w:sz w:val="18"/>
                <w:szCs w:val="18"/>
                <w14:textFill>
                  <w14:solidFill>
                    <w14:schemeClr w14:val="tx1"/>
                  </w14:solidFill>
                </w14:textFill>
              </w:rPr>
              <w:t>24</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252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16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1</w:t>
            </w:r>
            <w:r>
              <w:rPr>
                <w:rFonts w:ascii="宋体" w:hAnsi="宋体" w:cs="宋体"/>
                <w:b/>
                <w:color w:val="000000" w:themeColor="text1"/>
                <w:sz w:val="18"/>
                <w:szCs w:val="18"/>
                <w14:textFill>
                  <w14:solidFill>
                    <w14:schemeClr w14:val="tx1"/>
                  </w14:solidFill>
                </w14:textFill>
              </w:rPr>
              <w:t>6</w:t>
            </w: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9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26</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422" w:type="dxa"/>
            <w:vMerge w:val="restart"/>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专业拓展课</w:t>
            </w: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51031514</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医用化学基础</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27</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51031515</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宠物学概论</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36</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28</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51031516</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*宠物营养与食品</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91"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29</w:t>
            </w:r>
          </w:p>
        </w:tc>
        <w:tc>
          <w:tcPr>
            <w:tcW w:w="340" w:type="dxa"/>
            <w:vMerge w:val="restart"/>
            <w:tcBorders>
              <w:left w:val="single" w:color="auto" w:sz="4" w:space="0"/>
              <w:right w:val="single" w:color="auto" w:sz="4" w:space="0"/>
            </w:tcBorders>
            <w:vAlign w:val="center"/>
          </w:tcPr>
          <w:p>
            <w:pPr>
              <w:widowControl/>
              <w:adjustRightInd w:val="0"/>
              <w:spacing w:line="240" w:lineRule="auto"/>
              <w:ind w:firstLine="0" w:firstLineChars="0"/>
              <w:rPr>
                <w:rFonts w:ascii="宋体" w:hAnsi="宋体" w:cs="宋体"/>
                <w:b/>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51031517</w:t>
            </w:r>
          </w:p>
        </w:tc>
        <w:tc>
          <w:tcPr>
            <w:tcW w:w="3969"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宠物医院实务</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30</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51031518</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*宠物美容与服饰</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31</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51031519</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*宠物饲养</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sz w:val="18"/>
                <w:szCs w:val="18"/>
                <w14:textFill>
                  <w14:solidFill>
                    <w14:schemeClr w14:val="tx1"/>
                  </w14:solidFill>
                </w14:textFill>
              </w:rPr>
            </w:pP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32</w:t>
            </w:r>
          </w:p>
        </w:tc>
        <w:tc>
          <w:tcPr>
            <w:tcW w:w="340" w:type="dxa"/>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422" w:type="dxa"/>
            <w:vMerge w:val="continue"/>
            <w:tcBorders>
              <w:left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51031520</w:t>
            </w: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*动物繁殖与育种</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Cs/>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b/>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1</w:t>
            </w:r>
          </w:p>
        </w:tc>
        <w:tc>
          <w:tcPr>
            <w:tcW w:w="1248" w:type="dxa"/>
            <w:gridSpan w:val="2"/>
            <w:vMerge w:val="continue"/>
            <w:tcBorders>
              <w:left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p>
        </w:tc>
        <w:tc>
          <w:tcPr>
            <w:tcW w:w="340" w:type="dxa"/>
            <w:vMerge w:val="continue"/>
            <w:tcBorders>
              <w:left w:val="single" w:color="auto" w:sz="4" w:space="0"/>
              <w:bottom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p>
        </w:tc>
        <w:tc>
          <w:tcPr>
            <w:tcW w:w="422" w:type="dxa"/>
            <w:vMerge w:val="continue"/>
            <w:tcBorders>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小  计</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kern w:val="0"/>
                <w:sz w:val="18"/>
                <w:szCs w:val="18"/>
                <w14:textFill>
                  <w14:solidFill>
                    <w14:schemeClr w14:val="tx1"/>
                  </w14:solidFill>
                </w14:textFill>
              </w:rPr>
              <w:t>10</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kern w:val="0"/>
                <w:sz w:val="18"/>
                <w:szCs w:val="18"/>
                <w14:textFill>
                  <w14:solidFill>
                    <w14:schemeClr w14:val="tx1"/>
                  </w14:solidFill>
                </w14:textFill>
              </w:rPr>
              <w:t>180</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kern w:val="0"/>
                <w:sz w:val="18"/>
                <w:szCs w:val="18"/>
                <w14:textFill>
                  <w14:solidFill>
                    <w14:schemeClr w14:val="tx1"/>
                  </w14:solidFill>
                </w14:textFill>
              </w:rPr>
              <w:t>148</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32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kern w:val="0"/>
                <w:sz w:val="18"/>
                <w:szCs w:val="18"/>
                <w14:textFill>
                  <w14:solidFill>
                    <w14:schemeClr w14:val="tx1"/>
                  </w14:solidFill>
                </w14:textFill>
              </w:rPr>
              <w:t>5</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2</w:t>
            </w:r>
          </w:p>
        </w:tc>
        <w:tc>
          <w:tcPr>
            <w:tcW w:w="1248" w:type="dxa"/>
            <w:gridSpan w:val="2"/>
            <w:vMerge w:val="continue"/>
            <w:tcBorders>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bCs/>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33</w:t>
            </w:r>
          </w:p>
        </w:tc>
        <w:tc>
          <w:tcPr>
            <w:tcW w:w="762" w:type="dxa"/>
            <w:gridSpan w:val="2"/>
            <w:vMerge w:val="restart"/>
            <w:tcBorders>
              <w:left w:val="single" w:color="auto" w:sz="4" w:space="0"/>
              <w:right w:val="single" w:color="auto" w:sz="4" w:space="0"/>
            </w:tcBorders>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集中实践</w:t>
            </w:r>
          </w:p>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课程</w:t>
            </w: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b/>
                <w:color w:val="000000" w:themeColor="text1"/>
                <w:kern w:val="0"/>
                <w:sz w:val="18"/>
                <w:szCs w:val="18"/>
                <w:highlight w:val="yellow"/>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宠物医院假期专业实践</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248"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34</w:t>
            </w:r>
          </w:p>
        </w:tc>
        <w:tc>
          <w:tcPr>
            <w:tcW w:w="762" w:type="dxa"/>
            <w:gridSpan w:val="2"/>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b/>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宠物疾病临床诊疗技术技能训练与考核</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24</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248"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35</w:t>
            </w:r>
          </w:p>
        </w:tc>
        <w:tc>
          <w:tcPr>
            <w:tcW w:w="762" w:type="dxa"/>
            <w:gridSpan w:val="2"/>
            <w:vMerge w:val="continue"/>
            <w:tcBorders>
              <w:left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left"/>
              <w:rPr>
                <w:rFonts w:ascii="宋体" w:hAnsi="宋体" w:cs="宋体"/>
                <w:b/>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顶岗实习</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38</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912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248"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45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762" w:type="dxa"/>
            <w:gridSpan w:val="2"/>
            <w:vMerge w:val="continue"/>
            <w:tcBorders>
              <w:left w:val="single" w:color="auto" w:sz="4" w:space="0"/>
              <w:bottom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小计</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41</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936</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adjustRightInd w:val="0"/>
              <w:spacing w:line="240" w:lineRule="auto"/>
              <w:ind w:firstLine="0" w:firstLineChars="0"/>
              <w:jc w:val="center"/>
              <w:rPr>
                <w:rFonts w:ascii="宋体" w:hAnsi="宋体" w:cs="宋体"/>
                <w:color w:val="000000" w:themeColor="text1"/>
                <w:sz w:val="18"/>
                <w:szCs w:val="18"/>
                <w14:textFill>
                  <w14:solidFill>
                    <w14:schemeClr w14:val="tx1"/>
                  </w14:solidFill>
                </w14:textFill>
              </w:rPr>
            </w:pPr>
          </w:p>
        </w:tc>
        <w:tc>
          <w:tcPr>
            <w:tcW w:w="1248"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2381" w:type="dxa"/>
            <w:gridSpan w:val="4"/>
            <w:tcBorders>
              <w:top w:val="single" w:color="auto" w:sz="4" w:space="0"/>
              <w:left w:val="single" w:color="auto" w:sz="4" w:space="0"/>
              <w:bottom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3969"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总计</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144</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2862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1192</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734</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26</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2</w:t>
            </w:r>
            <w:r>
              <w:rPr>
                <w:rFonts w:ascii="宋体" w:hAnsi="宋体" w:cs="宋体"/>
                <w:b/>
                <w:color w:val="000000" w:themeColor="text1"/>
                <w:kern w:val="0"/>
                <w:sz w:val="18"/>
                <w:szCs w:val="18"/>
                <w14:textFill>
                  <w14:solidFill>
                    <w14:schemeClr w14:val="tx1"/>
                  </w14:solidFill>
                </w14:textFill>
              </w:rPr>
              <w:t>6</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23</w:t>
            </w:r>
          </w:p>
        </w:tc>
        <w:tc>
          <w:tcPr>
            <w:tcW w:w="624" w:type="dxa"/>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22</w:t>
            </w:r>
          </w:p>
        </w:tc>
        <w:tc>
          <w:tcPr>
            <w:tcW w:w="1248"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2381" w:type="dxa"/>
            <w:gridSpan w:val="4"/>
            <w:tcBorders>
              <w:top w:val="single" w:color="auto" w:sz="4" w:space="0"/>
              <w:left w:val="single" w:color="auto" w:sz="4" w:space="0"/>
              <w:bottom w:val="single" w:color="auto" w:sz="4" w:space="0"/>
              <w:right w:val="single" w:color="auto" w:sz="4" w:space="0"/>
            </w:tcBorders>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1457" w:type="dxa"/>
            <w:gridSpan w:val="13"/>
            <w:tcBorders>
              <w:top w:val="single" w:color="auto" w:sz="4" w:space="0"/>
              <w:left w:val="single" w:color="auto" w:sz="4" w:space="0"/>
              <w:bottom w:val="single" w:color="auto" w:sz="4" w:space="0"/>
              <w:right w:val="single" w:color="auto" w:sz="4" w:space="0"/>
            </w:tcBorders>
            <w:noWrap/>
            <w:vAlign w:val="center"/>
          </w:tcPr>
          <w:p>
            <w:pPr>
              <w:widowControl/>
              <w:adjustRightInd w:val="0"/>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毕业考试：包括技能和理论考核。技能考核课程：执业兽医师实践综合技能；理论考核课程：</w:t>
            </w:r>
            <w:r>
              <w:rPr>
                <w:rFonts w:ascii="宋体" w:hAnsi="宋体" w:cs="宋体"/>
                <w:color w:val="000000" w:themeColor="text1"/>
                <w:kern w:val="0"/>
                <w:sz w:val="18"/>
                <w:szCs w:val="18"/>
                <w14:textFill>
                  <w14:solidFill>
                    <w14:schemeClr w14:val="tx1"/>
                  </w14:solidFill>
                </w14:textFill>
              </w:rPr>
              <w:t>基础科目</w:t>
            </w:r>
            <w:r>
              <w:rPr>
                <w:rFonts w:hint="eastAsia" w:ascii="宋体" w:hAnsi="宋体" w:cs="宋体"/>
                <w:color w:val="000000" w:themeColor="text1"/>
                <w:kern w:val="0"/>
                <w:sz w:val="18"/>
                <w:szCs w:val="18"/>
                <w14:textFill>
                  <w14:solidFill>
                    <w14:schemeClr w14:val="tx1"/>
                  </w14:solidFill>
                </w14:textFill>
              </w:rPr>
              <w:t>、</w:t>
            </w:r>
            <w:r>
              <w:rPr>
                <w:rFonts w:ascii="宋体" w:hAnsi="宋体" w:cs="宋体"/>
                <w:color w:val="000000" w:themeColor="text1"/>
                <w:kern w:val="0"/>
                <w:sz w:val="18"/>
                <w:szCs w:val="18"/>
                <w14:textFill>
                  <w14:solidFill>
                    <w14:schemeClr w14:val="tx1"/>
                  </w14:solidFill>
                </w14:textFill>
              </w:rPr>
              <w:t>临床科目</w:t>
            </w:r>
            <w:r>
              <w:rPr>
                <w:rFonts w:hint="eastAsia" w:ascii="宋体" w:hAnsi="宋体" w:cs="宋体"/>
                <w:color w:val="000000" w:themeColor="text1"/>
                <w:kern w:val="0"/>
                <w:sz w:val="18"/>
                <w:szCs w:val="18"/>
                <w14:textFill>
                  <w14:solidFill>
                    <w14:schemeClr w14:val="tx1"/>
                  </w14:solidFill>
                </w14:textFill>
              </w:rPr>
              <w:t>、预防科目和</w:t>
            </w:r>
            <w:r>
              <w:rPr>
                <w:rFonts w:ascii="宋体" w:hAnsi="宋体" w:cs="宋体"/>
                <w:color w:val="000000" w:themeColor="text1"/>
                <w:kern w:val="0"/>
                <w:sz w:val="18"/>
                <w:szCs w:val="18"/>
                <w14:textFill>
                  <w14:solidFill>
                    <w14:schemeClr w14:val="tx1"/>
                  </w14:solidFill>
                </w14:textFill>
              </w:rPr>
              <w:t>综合应用科目</w:t>
            </w:r>
            <w:r>
              <w:rPr>
                <w:rFonts w:hint="eastAsia" w:ascii="宋体" w:hAnsi="宋体" w:cs="宋体"/>
                <w:color w:val="000000" w:themeColor="text1"/>
                <w:kern w:val="0"/>
                <w:sz w:val="18"/>
                <w:szCs w:val="18"/>
                <w14:textFill>
                  <w14:solidFill>
                    <w14:schemeClr w14:val="tx1"/>
                  </w14:solidFill>
                </w14:textFill>
              </w:rPr>
              <w:t>。</w:t>
            </w:r>
          </w:p>
        </w:tc>
      </w:tr>
    </w:tbl>
    <w:p>
      <w:pPr>
        <w:widowControl/>
        <w:ind w:firstLine="0" w:firstLineChars="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说明：带有*标记的课程为可选课程，其余课程均为必修课程或限选课程。对于本专业需从*标记的课程中选修两门课程。</w:t>
      </w:r>
    </w:p>
    <w:p>
      <w:pPr>
        <w:widowControl/>
        <w:spacing w:before="159" w:beforeLines="50" w:after="159" w:afterLines="50"/>
        <w:ind w:firstLine="480"/>
        <w:rPr>
          <w:rFonts w:ascii="宋体" w:hAnsi="宋体"/>
          <w:color w:val="000000" w:themeColor="text1"/>
          <w:szCs w:val="24"/>
          <w14:textFill>
            <w14:solidFill>
              <w14:schemeClr w14:val="tx1"/>
            </w14:solidFill>
          </w14:textFill>
        </w:rPr>
      </w:pPr>
    </w:p>
    <w:p>
      <w:pPr>
        <w:widowControl/>
        <w:spacing w:before="159" w:beforeLines="50" w:after="159" w:afterLines="50"/>
        <w:ind w:firstLine="0" w:firstLineChars="0"/>
        <w:rPr>
          <w:rFonts w:ascii="宋体" w:hAnsi="宋体" w:cs="宋体"/>
          <w:color w:val="000000" w:themeColor="text1"/>
          <w:szCs w:val="24"/>
          <w14:textFill>
            <w14:solidFill>
              <w14:schemeClr w14:val="tx1"/>
            </w14:solidFill>
          </w14:textFill>
        </w:rPr>
      </w:pPr>
    </w:p>
    <w:p>
      <w:pPr>
        <w:widowControl/>
        <w:spacing w:before="159" w:beforeLines="50" w:after="159" w:afterLines="50"/>
        <w:ind w:firstLine="0" w:firstLineChars="0"/>
        <w:rPr>
          <w:rFonts w:ascii="宋体" w:hAnsi="宋体" w:cs="宋体"/>
          <w:color w:val="000000" w:themeColor="text1"/>
          <w:szCs w:val="24"/>
          <w14:textFill>
            <w14:solidFill>
              <w14:schemeClr w14:val="tx1"/>
            </w14:solidFill>
          </w14:textFill>
        </w:rPr>
      </w:pPr>
    </w:p>
    <w:p>
      <w:pPr>
        <w:widowControl/>
        <w:spacing w:before="159" w:beforeLines="50" w:after="159" w:afterLines="5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附表二                                    </w:t>
      </w:r>
      <w:r>
        <w:rPr>
          <w:rFonts w:hint="eastAsia" w:ascii="宋体" w:hAnsi="宋体" w:cs="宋体"/>
          <w:b/>
          <w:color w:val="000000" w:themeColor="text1"/>
          <w:szCs w:val="24"/>
          <w14:textFill>
            <w14:solidFill>
              <w14:schemeClr w14:val="tx1"/>
            </w14:solidFill>
          </w14:textFill>
        </w:rPr>
        <w:t>集中实践实训教学进程安排表</w:t>
      </w:r>
    </w:p>
    <w:p>
      <w:pPr>
        <w:widowControl/>
        <w:spacing w:line="240" w:lineRule="atLeast"/>
        <w:ind w:firstLine="0" w:firstLineChars="0"/>
        <w:jc w:val="center"/>
        <w:rPr>
          <w:rFonts w:ascii="宋体" w:hAnsi="宋体" w:cs="宋体"/>
          <w:b/>
          <w:color w:val="000000" w:themeColor="text1"/>
          <w:szCs w:val="24"/>
          <w14:textFill>
            <w14:solidFill>
              <w14:schemeClr w14:val="tx1"/>
            </w14:solidFill>
          </w14:textFill>
        </w:rPr>
      </w:pPr>
    </w:p>
    <w:tbl>
      <w:tblPr>
        <w:tblStyle w:val="12"/>
        <w:tblW w:w="136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417"/>
        <w:gridCol w:w="3969"/>
        <w:gridCol w:w="907"/>
        <w:gridCol w:w="907"/>
        <w:gridCol w:w="907"/>
        <w:gridCol w:w="141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1417"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类别</w:t>
            </w:r>
          </w:p>
        </w:tc>
        <w:tc>
          <w:tcPr>
            <w:tcW w:w="3969"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实践教学名称</w:t>
            </w:r>
          </w:p>
        </w:tc>
        <w:tc>
          <w:tcPr>
            <w:tcW w:w="907" w:type="dxa"/>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学分</w:t>
            </w:r>
          </w:p>
        </w:tc>
        <w:tc>
          <w:tcPr>
            <w:tcW w:w="907" w:type="dxa"/>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周数</w:t>
            </w:r>
          </w:p>
        </w:tc>
        <w:tc>
          <w:tcPr>
            <w:tcW w:w="907"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总学时</w:t>
            </w:r>
          </w:p>
        </w:tc>
        <w:tc>
          <w:tcPr>
            <w:tcW w:w="1418"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开设学期</w:t>
            </w:r>
          </w:p>
        </w:tc>
        <w:tc>
          <w:tcPr>
            <w:tcW w:w="3402"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bookmarkStart w:id="6" w:name="_Hlk16798706"/>
            <w:r>
              <w:rPr>
                <w:rFonts w:ascii="宋体" w:hAnsi="宋体" w:cs="宋体"/>
                <w:color w:val="000000" w:themeColor="text1"/>
                <w:kern w:val="0"/>
                <w:sz w:val="18"/>
                <w:szCs w:val="18"/>
                <w14:textFill>
                  <w14:solidFill>
                    <w14:schemeClr w14:val="tx1"/>
                  </w14:solidFill>
                </w14:textFill>
              </w:rPr>
              <w:t>1</w:t>
            </w:r>
          </w:p>
        </w:tc>
        <w:tc>
          <w:tcPr>
            <w:tcW w:w="1417" w:type="dxa"/>
            <w:noWrap/>
            <w:vAlign w:val="center"/>
          </w:tcPr>
          <w:p>
            <w:pPr>
              <w:spacing w:line="240" w:lineRule="auto"/>
              <w:ind w:firstLine="0" w:firstLineChars="0"/>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假期专业实践</w:t>
            </w:r>
          </w:p>
        </w:tc>
        <w:tc>
          <w:tcPr>
            <w:tcW w:w="3969" w:type="dxa"/>
            <w:noWrap/>
            <w:vAlign w:val="center"/>
          </w:tcPr>
          <w:p>
            <w:pPr>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宠物医院假期专业实践</w:t>
            </w:r>
          </w:p>
        </w:tc>
        <w:tc>
          <w:tcPr>
            <w:tcW w:w="907" w:type="dxa"/>
            <w:vAlign w:val="center"/>
          </w:tcPr>
          <w:p>
            <w:pPr>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907" w:type="dxa"/>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907"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1418" w:type="dxa"/>
            <w:noWrap/>
            <w:vAlign w:val="center"/>
          </w:tcPr>
          <w:p>
            <w:pPr>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寒假或暑假</w:t>
            </w:r>
          </w:p>
        </w:tc>
        <w:tc>
          <w:tcPr>
            <w:tcW w:w="3402" w:type="dxa"/>
            <w:noWrap/>
          </w:tcPr>
          <w:p>
            <w:pPr>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在宠物医院进行分散或集中进行假期专业实践两周</w:t>
            </w:r>
            <w:r>
              <w:rPr>
                <w:rFonts w:ascii="宋体" w:hAnsi="宋体" w:cs="宋体"/>
                <w:color w:val="000000" w:themeColor="text1"/>
                <w:kern w:val="0"/>
                <w:sz w:val="18"/>
                <w:szCs w:val="18"/>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2</w:t>
            </w:r>
          </w:p>
        </w:tc>
        <w:tc>
          <w:tcPr>
            <w:tcW w:w="1417" w:type="dxa"/>
            <w:noWrap/>
            <w:vAlign w:val="center"/>
          </w:tcPr>
          <w:p>
            <w:pPr>
              <w:widowControl/>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校内考核</w:t>
            </w:r>
          </w:p>
        </w:tc>
        <w:tc>
          <w:tcPr>
            <w:tcW w:w="3969" w:type="dxa"/>
            <w:noWrap/>
            <w:vAlign w:val="center"/>
          </w:tcPr>
          <w:p>
            <w:pPr>
              <w:widowControl/>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bookmarkStart w:id="7" w:name="OLE_LINK6"/>
            <w:r>
              <w:rPr>
                <w:rFonts w:hint="eastAsia" w:ascii="宋体" w:hAnsi="宋体" w:cs="宋体"/>
                <w:color w:val="000000" w:themeColor="text1"/>
                <w:sz w:val="18"/>
                <w:szCs w:val="18"/>
                <w14:textFill>
                  <w14:solidFill>
                    <w14:schemeClr w14:val="tx1"/>
                  </w14:solidFill>
                </w14:textFill>
              </w:rPr>
              <w:t>宠物疾病临床诊疗技术技能训练与考核</w:t>
            </w:r>
            <w:bookmarkEnd w:id="7"/>
          </w:p>
        </w:tc>
        <w:tc>
          <w:tcPr>
            <w:tcW w:w="907" w:type="dxa"/>
            <w:vAlign w:val="center"/>
          </w:tcPr>
          <w:p>
            <w:pPr>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907" w:type="dxa"/>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907"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24</w:t>
            </w:r>
          </w:p>
        </w:tc>
        <w:tc>
          <w:tcPr>
            <w:tcW w:w="1418" w:type="dxa"/>
            <w:noWrap/>
            <w:vAlign w:val="center"/>
          </w:tcPr>
          <w:p>
            <w:pPr>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六</w:t>
            </w:r>
          </w:p>
        </w:tc>
        <w:tc>
          <w:tcPr>
            <w:tcW w:w="3402" w:type="dxa"/>
            <w:noWrap/>
            <w:vAlign w:val="center"/>
          </w:tcPr>
          <w:p>
            <w:pPr>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按照执业兽医师考试要求对学生进行理论与实践考核，通过考核，获得学分。</w:t>
            </w:r>
            <w:r>
              <w:rPr>
                <w:rFonts w:hint="eastAsia" w:ascii="宋体" w:hAnsi="宋体" w:cs="宋体"/>
                <w:color w:val="000000" w:themeColor="text1"/>
                <w:kern w:val="0"/>
                <w:sz w:val="18"/>
                <w:szCs w:val="18"/>
                <w14:textFill>
                  <w14:solidFill>
                    <w14:schemeClr w14:val="tx1"/>
                  </w14:solidFill>
                </w14:textFill>
              </w:rPr>
              <w:t>技能考核课程：执业兽医师动手实践综合技能；理论考核课程：基础科目、临床科目、预防科目和综合应用科目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3</w:t>
            </w:r>
          </w:p>
        </w:tc>
        <w:tc>
          <w:tcPr>
            <w:tcW w:w="1417" w:type="dxa"/>
            <w:noWrap/>
            <w:vAlign w:val="center"/>
          </w:tcPr>
          <w:p>
            <w:pPr>
              <w:widowControl/>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实习</w:t>
            </w:r>
          </w:p>
        </w:tc>
        <w:tc>
          <w:tcPr>
            <w:tcW w:w="3969" w:type="dxa"/>
            <w:noWrap/>
            <w:vAlign w:val="center"/>
          </w:tcPr>
          <w:p>
            <w:pPr>
              <w:spacing w:line="240" w:lineRule="auto"/>
              <w:ind w:firstLine="0" w:firstLineChars="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顶岗实习</w:t>
            </w:r>
          </w:p>
        </w:tc>
        <w:tc>
          <w:tcPr>
            <w:tcW w:w="907" w:type="dxa"/>
            <w:vAlign w:val="center"/>
          </w:tcPr>
          <w:p>
            <w:pPr>
              <w:spacing w:line="240" w:lineRule="auto"/>
              <w:ind w:firstLine="0" w:firstLineChars="0"/>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w:t>
            </w:r>
          </w:p>
        </w:tc>
        <w:tc>
          <w:tcPr>
            <w:tcW w:w="907" w:type="dxa"/>
            <w:vAlign w:val="center"/>
          </w:tcPr>
          <w:p>
            <w:pPr>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w:t>
            </w:r>
          </w:p>
        </w:tc>
        <w:tc>
          <w:tcPr>
            <w:tcW w:w="907"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912</w:t>
            </w:r>
          </w:p>
        </w:tc>
        <w:tc>
          <w:tcPr>
            <w:tcW w:w="1418"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五（六）</w:t>
            </w:r>
          </w:p>
        </w:tc>
        <w:tc>
          <w:tcPr>
            <w:tcW w:w="3402"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到预就业单位或者生产实习基地进行顶岗实习，按照实习单位管理规范进行管理和考核，获得相应学分。</w:t>
            </w: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3" w:type="dxa"/>
            <w:gridSpan w:val="3"/>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合计</w:t>
            </w:r>
          </w:p>
        </w:tc>
        <w:tc>
          <w:tcPr>
            <w:tcW w:w="907" w:type="dxa"/>
            <w:vAlign w:val="center"/>
          </w:tcPr>
          <w:p>
            <w:pPr>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41</w:t>
            </w:r>
          </w:p>
        </w:tc>
        <w:tc>
          <w:tcPr>
            <w:tcW w:w="907" w:type="dxa"/>
            <w:vAlign w:val="center"/>
          </w:tcPr>
          <w:p>
            <w:pPr>
              <w:widowControl/>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p>
        </w:tc>
        <w:tc>
          <w:tcPr>
            <w:tcW w:w="907" w:type="dxa"/>
            <w:noWrap/>
            <w:vAlign w:val="center"/>
          </w:tcPr>
          <w:p>
            <w:pPr>
              <w:spacing w:line="240" w:lineRule="auto"/>
              <w:ind w:firstLine="0" w:firstLineChars="0"/>
              <w:jc w:val="center"/>
              <w:rPr>
                <w:rFonts w:ascii="宋体" w:hAnsi="宋体" w:cs="宋体"/>
                <w:b/>
                <w:color w:val="000000" w:themeColor="text1"/>
                <w:kern w:val="0"/>
                <w:sz w:val="18"/>
                <w:szCs w:val="18"/>
                <w14:textFill>
                  <w14:solidFill>
                    <w14:schemeClr w14:val="tx1"/>
                  </w14:solidFill>
                </w14:textFill>
              </w:rPr>
            </w:pPr>
            <w:r>
              <w:rPr>
                <w:rFonts w:ascii="宋体" w:hAnsi="宋体" w:cs="宋体"/>
                <w:b/>
                <w:color w:val="000000" w:themeColor="text1"/>
                <w:kern w:val="0"/>
                <w:sz w:val="18"/>
                <w:szCs w:val="18"/>
                <w14:textFill>
                  <w14:solidFill>
                    <w14:schemeClr w14:val="tx1"/>
                  </w14:solidFill>
                </w14:textFill>
              </w:rPr>
              <w:t>936</w:t>
            </w:r>
          </w:p>
        </w:tc>
        <w:tc>
          <w:tcPr>
            <w:tcW w:w="1418"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c>
          <w:tcPr>
            <w:tcW w:w="3402" w:type="dxa"/>
            <w:noWrap/>
            <w:vAlign w:val="center"/>
          </w:tcPr>
          <w:p>
            <w:pPr>
              <w:widowControl/>
              <w:spacing w:line="240" w:lineRule="auto"/>
              <w:ind w:firstLine="0" w:firstLineChars="0"/>
              <w:jc w:val="center"/>
              <w:rPr>
                <w:rFonts w:ascii="宋体" w:hAnsi="宋体" w:cs="宋体"/>
                <w:color w:val="000000" w:themeColor="text1"/>
                <w:kern w:val="0"/>
                <w:sz w:val="18"/>
                <w:szCs w:val="18"/>
                <w14:textFill>
                  <w14:solidFill>
                    <w14:schemeClr w14:val="tx1"/>
                  </w14:solidFill>
                </w14:textFill>
              </w:rPr>
            </w:pPr>
          </w:p>
        </w:tc>
      </w:tr>
    </w:tbl>
    <w:p>
      <w:pPr>
        <w:ind w:firstLine="0" w:firstLineChars="0"/>
        <w:rPr>
          <w:rFonts w:hint="eastAsia" w:ascii="宋体" w:hAnsi="宋体" w:cs="宋体"/>
          <w:lang w:val="en-US" w:eastAsia="zh-CN"/>
        </w:rPr>
      </w:pPr>
    </w:p>
    <w:p>
      <w:pPr>
        <w:ind w:firstLine="0" w:firstLineChars="0"/>
        <w:rPr>
          <w:rFonts w:hint="eastAsia" w:ascii="宋体" w:hAnsi="宋体" w:cs="宋体"/>
          <w:lang w:val="en-US" w:eastAsia="zh-CN"/>
        </w:rPr>
      </w:pPr>
    </w:p>
    <w:p>
      <w:pPr>
        <w:ind w:firstLine="0" w:firstLineChars="0"/>
        <w:rPr>
          <w:rFonts w:hint="eastAsia" w:ascii="宋体" w:hAnsi="宋体" w:cs="宋体"/>
          <w:b/>
          <w:szCs w:val="24"/>
          <w:lang w:val="en-US" w:eastAsia="zh-CN"/>
        </w:rPr>
      </w:pPr>
      <w:r>
        <w:rPr>
          <w:rFonts w:hint="eastAsia" w:ascii="宋体" w:hAnsi="宋体" w:cs="宋体"/>
          <w:lang w:val="en-US" w:eastAsia="zh-CN"/>
        </w:rPr>
        <w:t xml:space="preserve">附表三                                         </w:t>
      </w:r>
      <w:r>
        <w:rPr>
          <w:rFonts w:hint="eastAsia" w:ascii="宋体" w:hAnsi="宋体" w:cs="宋体"/>
          <w:b/>
          <w:szCs w:val="24"/>
          <w:lang w:val="en-US" w:eastAsia="zh-CN"/>
        </w:rPr>
        <w:t xml:space="preserve"> 课时比例表</w:t>
      </w:r>
    </w:p>
    <w:p>
      <w:pPr>
        <w:ind w:firstLine="0" w:firstLineChars="0"/>
        <w:rPr>
          <w:rFonts w:hint="eastAsia" w:ascii="宋体" w:hAnsi="宋体" w:cs="宋体"/>
          <w:b/>
          <w:szCs w:val="24"/>
          <w:lang w:val="en-US" w:eastAsia="zh-CN"/>
        </w:rPr>
      </w:pPr>
    </w:p>
    <w:tbl>
      <w:tblPr>
        <w:tblStyle w:val="13"/>
        <w:tblpPr w:leftFromText="180" w:rightFromText="180" w:vertAnchor="text" w:horzAnchor="page" w:tblpX="2621" w:tblpY="160"/>
        <w:tblOverlap w:val="never"/>
        <w:tblW w:w="11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6"/>
        <w:gridCol w:w="1988"/>
        <w:gridCol w:w="2075"/>
        <w:gridCol w:w="1956"/>
        <w:gridCol w:w="1958"/>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806" w:type="dxa"/>
          </w:tcPr>
          <w:p>
            <w:pPr>
              <w:rPr>
                <w:rFonts w:hint="default" w:ascii="宋体" w:hAnsi="宋体" w:cs="宋体"/>
                <w:b/>
                <w:szCs w:val="24"/>
                <w:vertAlign w:val="baseline"/>
                <w:lang w:val="en-US" w:eastAsia="zh-CN"/>
              </w:rPr>
            </w:pPr>
          </w:p>
        </w:tc>
        <w:tc>
          <w:tcPr>
            <w:tcW w:w="1988" w:type="dxa"/>
          </w:tcPr>
          <w:p>
            <w:pPr>
              <w:ind w:left="0" w:leftChars="0" w:firstLine="0" w:firstLineChars="0"/>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公共基础必修课</w:t>
            </w:r>
          </w:p>
        </w:tc>
        <w:tc>
          <w:tcPr>
            <w:tcW w:w="2075" w:type="dxa"/>
          </w:tcPr>
          <w:p>
            <w:pPr>
              <w:ind w:left="0" w:leftChars="0" w:firstLine="0" w:firstLineChars="0"/>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公共基础选修课</w:t>
            </w:r>
          </w:p>
        </w:tc>
        <w:tc>
          <w:tcPr>
            <w:tcW w:w="1956" w:type="dxa"/>
          </w:tcPr>
          <w:p>
            <w:pPr>
              <w:ind w:left="0" w:leftChars="0" w:firstLine="0" w:firstLineChars="0"/>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专业基础课程</w:t>
            </w:r>
          </w:p>
        </w:tc>
        <w:tc>
          <w:tcPr>
            <w:tcW w:w="1958" w:type="dxa"/>
          </w:tcPr>
          <w:p>
            <w:pPr>
              <w:ind w:left="0" w:leftChars="0" w:firstLine="0" w:firstLineChars="0"/>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专业核心课程</w:t>
            </w:r>
          </w:p>
        </w:tc>
        <w:tc>
          <w:tcPr>
            <w:tcW w:w="1957" w:type="dxa"/>
          </w:tcPr>
          <w:p>
            <w:pPr>
              <w:ind w:left="0" w:leftChars="0" w:firstLine="0" w:firstLineChars="0"/>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专业拓展课程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806" w:type="dxa"/>
          </w:tcPr>
          <w:p>
            <w:pPr>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课时数</w:t>
            </w:r>
          </w:p>
        </w:tc>
        <w:tc>
          <w:tcPr>
            <w:tcW w:w="1988" w:type="dxa"/>
          </w:tcPr>
          <w:p>
            <w:pPr>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738</w:t>
            </w:r>
          </w:p>
        </w:tc>
        <w:tc>
          <w:tcPr>
            <w:tcW w:w="2075" w:type="dxa"/>
            <w:vAlign w:val="top"/>
          </w:tcPr>
          <w:p>
            <w:pPr>
              <w:spacing w:line="440" w:lineRule="exact"/>
              <w:ind w:firstLine="480" w:firstLineChars="200"/>
              <w:jc w:val="center"/>
              <w:rPr>
                <w:rFonts w:hint="default" w:ascii="宋体" w:hAnsi="宋体" w:cs="宋体"/>
                <w:b/>
                <w:szCs w:val="24"/>
                <w:vertAlign w:val="baseline"/>
                <w:lang w:val="en-US" w:eastAsia="zh-CN"/>
              </w:rPr>
            </w:pPr>
            <w:r>
              <w:rPr>
                <w:rFonts w:hint="eastAsia" w:cs="宋体"/>
                <w:b w:val="0"/>
                <w:bCs/>
                <w:sz w:val="24"/>
                <w:szCs w:val="24"/>
                <w:highlight w:val="none"/>
                <w:vertAlign w:val="baseline"/>
                <w:lang w:val="en-US" w:eastAsia="zh-CN"/>
              </w:rPr>
              <w:t>0</w:t>
            </w:r>
          </w:p>
        </w:tc>
        <w:tc>
          <w:tcPr>
            <w:tcW w:w="1956" w:type="dxa"/>
          </w:tcPr>
          <w:p>
            <w:pPr>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432</w:t>
            </w:r>
          </w:p>
        </w:tc>
        <w:tc>
          <w:tcPr>
            <w:tcW w:w="1958" w:type="dxa"/>
          </w:tcPr>
          <w:p>
            <w:pPr>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1488</w:t>
            </w:r>
          </w:p>
        </w:tc>
        <w:tc>
          <w:tcPr>
            <w:tcW w:w="1957" w:type="dxa"/>
          </w:tcPr>
          <w:p>
            <w:pPr>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806" w:type="dxa"/>
          </w:tcPr>
          <w:p>
            <w:pPr>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比例</w:t>
            </w:r>
          </w:p>
        </w:tc>
        <w:tc>
          <w:tcPr>
            <w:tcW w:w="1988" w:type="dxa"/>
          </w:tcPr>
          <w:p>
            <w:pPr>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25.8%</w:t>
            </w:r>
          </w:p>
        </w:tc>
        <w:tc>
          <w:tcPr>
            <w:tcW w:w="2075" w:type="dxa"/>
            <w:vAlign w:val="top"/>
          </w:tcPr>
          <w:p>
            <w:pPr>
              <w:spacing w:line="440" w:lineRule="exact"/>
              <w:ind w:firstLine="480" w:firstLineChars="200"/>
              <w:jc w:val="center"/>
              <w:rPr>
                <w:rFonts w:hint="default" w:ascii="宋体" w:hAnsi="宋体" w:cs="宋体"/>
                <w:b/>
                <w:szCs w:val="24"/>
                <w:vertAlign w:val="baseline"/>
                <w:lang w:val="en-US" w:eastAsia="zh-CN"/>
              </w:rPr>
            </w:pPr>
            <w:r>
              <w:rPr>
                <w:rFonts w:hint="eastAsia" w:cs="宋体"/>
                <w:b w:val="0"/>
                <w:bCs/>
                <w:sz w:val="24"/>
                <w:szCs w:val="24"/>
                <w:highlight w:val="none"/>
                <w:vertAlign w:val="baseline"/>
                <w:lang w:val="en-US" w:eastAsia="zh-CN"/>
              </w:rPr>
              <w:t>0%</w:t>
            </w:r>
          </w:p>
        </w:tc>
        <w:tc>
          <w:tcPr>
            <w:tcW w:w="1956" w:type="dxa"/>
          </w:tcPr>
          <w:p>
            <w:pPr>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15.1%</w:t>
            </w:r>
          </w:p>
        </w:tc>
        <w:tc>
          <w:tcPr>
            <w:tcW w:w="1958" w:type="dxa"/>
          </w:tcPr>
          <w:p>
            <w:pPr>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52%</w:t>
            </w:r>
          </w:p>
        </w:tc>
        <w:tc>
          <w:tcPr>
            <w:tcW w:w="1957" w:type="dxa"/>
          </w:tcPr>
          <w:p>
            <w:pPr>
              <w:rPr>
                <w:rFonts w:hint="default" w:ascii="宋体" w:hAnsi="宋体" w:cs="宋体"/>
                <w:b/>
                <w:szCs w:val="24"/>
                <w:vertAlign w:val="baseline"/>
                <w:lang w:val="en-US" w:eastAsia="zh-CN"/>
              </w:rPr>
            </w:pPr>
            <w:r>
              <w:rPr>
                <w:rFonts w:hint="eastAsia" w:ascii="宋体" w:hAnsi="宋体" w:cs="宋体"/>
                <w:b/>
                <w:szCs w:val="24"/>
                <w:vertAlign w:val="baseline"/>
                <w:lang w:val="en-US" w:eastAsia="zh-CN"/>
              </w:rPr>
              <w:t>6.3%</w:t>
            </w:r>
          </w:p>
        </w:tc>
      </w:tr>
    </w:tbl>
    <w:p>
      <w:pPr>
        <w:ind w:firstLine="0" w:firstLineChars="0"/>
        <w:rPr>
          <w:rFonts w:hint="default" w:ascii="宋体" w:hAnsi="宋体" w:cs="宋体"/>
          <w:b/>
          <w:szCs w:val="24"/>
          <w:lang w:val="en-US" w:eastAsia="zh-CN"/>
        </w:rPr>
      </w:pPr>
    </w:p>
    <w:p>
      <w:pPr>
        <w:ind w:firstLine="0" w:firstLineChars="0"/>
        <w:rPr>
          <w:rFonts w:ascii="宋体" w:hAnsi="宋体" w:cs="宋体"/>
          <w:color w:val="000000" w:themeColor="text1"/>
          <w14:textFill>
            <w14:solidFill>
              <w14:schemeClr w14:val="tx1"/>
            </w14:solidFill>
          </w14:textFill>
        </w:rPr>
      </w:pPr>
      <w:bookmarkStart w:id="8" w:name="_GoBack"/>
      <w:bookmarkEnd w:id="8"/>
    </w:p>
    <w:sectPr>
      <w:headerReference r:id="rId11" w:type="first"/>
      <w:headerReference r:id="rId9" w:type="default"/>
      <w:footerReference r:id="rId12" w:type="default"/>
      <w:headerReference r:id="rId10" w:type="even"/>
      <w:footerReference r:id="rId13" w:type="even"/>
      <w:pgSz w:w="16838" w:h="11906" w:orient="landscape"/>
      <w:pgMar w:top="1803" w:right="1440" w:bottom="1803"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36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322"/>
    <w:rsid w:val="000051DF"/>
    <w:rsid w:val="00076C45"/>
    <w:rsid w:val="000B1264"/>
    <w:rsid w:val="000F78EB"/>
    <w:rsid w:val="00161138"/>
    <w:rsid w:val="0016384C"/>
    <w:rsid w:val="001E53E7"/>
    <w:rsid w:val="00222FE0"/>
    <w:rsid w:val="002A73F4"/>
    <w:rsid w:val="00317346"/>
    <w:rsid w:val="00401474"/>
    <w:rsid w:val="00532737"/>
    <w:rsid w:val="005B3322"/>
    <w:rsid w:val="005D5314"/>
    <w:rsid w:val="005F13A0"/>
    <w:rsid w:val="006051C3"/>
    <w:rsid w:val="0061693D"/>
    <w:rsid w:val="006357AB"/>
    <w:rsid w:val="006473A9"/>
    <w:rsid w:val="00650DF1"/>
    <w:rsid w:val="00684507"/>
    <w:rsid w:val="006D10FB"/>
    <w:rsid w:val="007C459A"/>
    <w:rsid w:val="00803ED9"/>
    <w:rsid w:val="00824662"/>
    <w:rsid w:val="008527D3"/>
    <w:rsid w:val="00916FFB"/>
    <w:rsid w:val="00921C5E"/>
    <w:rsid w:val="00A64E07"/>
    <w:rsid w:val="00A658E3"/>
    <w:rsid w:val="00AB297F"/>
    <w:rsid w:val="00D0344F"/>
    <w:rsid w:val="00D12D0C"/>
    <w:rsid w:val="00D44E20"/>
    <w:rsid w:val="00E36C53"/>
    <w:rsid w:val="00E8282A"/>
    <w:rsid w:val="00E91D89"/>
    <w:rsid w:val="00EF4352"/>
    <w:rsid w:val="00F001C0"/>
    <w:rsid w:val="00F24D96"/>
    <w:rsid w:val="00F26FF8"/>
    <w:rsid w:val="00F90767"/>
    <w:rsid w:val="00F95F5D"/>
    <w:rsid w:val="00FA5CFC"/>
    <w:rsid w:val="00FB278E"/>
    <w:rsid w:val="068B51B6"/>
    <w:rsid w:val="0E064170"/>
    <w:rsid w:val="3CB2061E"/>
    <w:rsid w:val="3D913FC5"/>
    <w:rsid w:val="552757D1"/>
    <w:rsid w:val="5FC75437"/>
    <w:rsid w:val="62660992"/>
    <w:rsid w:val="6B6A05F8"/>
    <w:rsid w:val="6D6472A3"/>
    <w:rsid w:val="75D1392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99"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1"/>
    <w:basedOn w:val="1"/>
    <w:next w:val="1"/>
    <w:link w:val="30"/>
    <w:qFormat/>
    <w:uiPriority w:val="0"/>
    <w:pPr>
      <w:keepNext/>
      <w:keepLines/>
      <w:spacing w:beforeLines="50" w:afterLines="50" w:line="240" w:lineRule="auto"/>
      <w:ind w:firstLine="0" w:firstLineChars="0"/>
      <w:jc w:val="left"/>
      <w:outlineLvl w:val="0"/>
    </w:pPr>
    <w:rPr>
      <w:b/>
      <w:kern w:val="44"/>
      <w:szCs w:val="20"/>
    </w:rPr>
  </w:style>
  <w:style w:type="paragraph" w:styleId="3">
    <w:name w:val="heading 2"/>
    <w:basedOn w:val="1"/>
    <w:next w:val="1"/>
    <w:link w:val="29"/>
    <w:qFormat/>
    <w:uiPriority w:val="0"/>
    <w:pPr>
      <w:keepNext/>
      <w:keepLines/>
      <w:ind w:firstLine="640"/>
      <w:outlineLvl w:val="1"/>
    </w:pPr>
    <w:rPr>
      <w:rFonts w:ascii="Cambria" w:hAnsi="Cambria" w:cs="宋体"/>
      <w:bCs/>
      <w:szCs w:val="32"/>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4"/>
    <w:qFormat/>
    <w:uiPriority w:val="99"/>
    <w:pPr>
      <w:jc w:val="left"/>
    </w:pPr>
  </w:style>
  <w:style w:type="paragraph" w:styleId="5">
    <w:name w:val="Body Text Indent"/>
    <w:basedOn w:val="1"/>
    <w:qFormat/>
    <w:uiPriority w:val="0"/>
    <w:pPr>
      <w:spacing w:line="400" w:lineRule="exact"/>
      <w:ind w:firstLine="570"/>
    </w:pPr>
  </w:style>
  <w:style w:type="paragraph" w:styleId="6">
    <w:name w:val="Balloon Text"/>
    <w:basedOn w:val="1"/>
    <w:link w:val="22"/>
    <w:qFormat/>
    <w:uiPriority w:val="99"/>
    <w:rPr>
      <w:sz w:val="18"/>
      <w:szCs w:val="18"/>
    </w:rPr>
  </w:style>
  <w:style w:type="paragraph" w:styleId="7">
    <w:name w:val="footer"/>
    <w:basedOn w:val="1"/>
    <w:link w:val="19"/>
    <w:qFormat/>
    <w:uiPriority w:val="99"/>
    <w:pPr>
      <w:tabs>
        <w:tab w:val="center" w:pos="4153"/>
        <w:tab w:val="right" w:pos="8306"/>
      </w:tabs>
      <w:snapToGrid w:val="0"/>
      <w:jc w:val="left"/>
    </w:pPr>
    <w:rPr>
      <w:sz w:val="18"/>
      <w:szCs w:val="18"/>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rPr>
  </w:style>
  <w:style w:type="paragraph" w:styleId="10">
    <w:name w:val="Title"/>
    <w:basedOn w:val="1"/>
    <w:next w:val="1"/>
    <w:link w:val="20"/>
    <w:qFormat/>
    <w:uiPriority w:val="99"/>
    <w:pPr>
      <w:spacing w:before="240" w:after="60"/>
      <w:jc w:val="center"/>
      <w:outlineLvl w:val="0"/>
    </w:pPr>
    <w:rPr>
      <w:rFonts w:ascii="Calibri Light" w:hAnsi="Calibri Light"/>
      <w:b/>
      <w:bCs/>
      <w:sz w:val="32"/>
      <w:szCs w:val="32"/>
    </w:rPr>
  </w:style>
  <w:style w:type="paragraph" w:styleId="11">
    <w:name w:val="annotation subject"/>
    <w:basedOn w:val="4"/>
    <w:next w:val="4"/>
    <w:link w:val="25"/>
    <w:qFormat/>
    <w:uiPriority w:val="99"/>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b/>
      <w:bCs/>
    </w:rPr>
  </w:style>
  <w:style w:type="character" w:styleId="16">
    <w:name w:val="Emphasis"/>
    <w:qFormat/>
    <w:uiPriority w:val="99"/>
    <w:rPr>
      <w:rFonts w:eastAsia="宋体" w:cs="Times New Roman"/>
      <w:i/>
      <w:sz w:val="24"/>
    </w:rPr>
  </w:style>
  <w:style w:type="character" w:styleId="17">
    <w:name w:val="annotation reference"/>
    <w:qFormat/>
    <w:uiPriority w:val="99"/>
    <w:rPr>
      <w:sz w:val="21"/>
      <w:szCs w:val="21"/>
    </w:rPr>
  </w:style>
  <w:style w:type="character" w:customStyle="1" w:styleId="18">
    <w:name w:val="页眉 字符"/>
    <w:link w:val="8"/>
    <w:qFormat/>
    <w:uiPriority w:val="99"/>
    <w:rPr>
      <w:rFonts w:cs="Times New Roman"/>
      <w:sz w:val="18"/>
      <w:szCs w:val="18"/>
    </w:rPr>
  </w:style>
  <w:style w:type="character" w:customStyle="1" w:styleId="19">
    <w:name w:val="页脚 字符"/>
    <w:link w:val="7"/>
    <w:qFormat/>
    <w:uiPriority w:val="99"/>
    <w:rPr>
      <w:rFonts w:cs="Times New Roman"/>
      <w:sz w:val="18"/>
      <w:szCs w:val="18"/>
    </w:rPr>
  </w:style>
  <w:style w:type="character" w:customStyle="1" w:styleId="20">
    <w:name w:val="标题 字符"/>
    <w:link w:val="10"/>
    <w:qFormat/>
    <w:uiPriority w:val="99"/>
    <w:rPr>
      <w:rFonts w:ascii="Calibri Light" w:hAnsi="Calibri Light" w:eastAsia="宋体" w:cs="Times New Roman"/>
      <w:b/>
      <w:bCs/>
      <w:sz w:val="32"/>
      <w:szCs w:val="32"/>
    </w:rPr>
  </w:style>
  <w:style w:type="character" w:styleId="21">
    <w:name w:val="Placeholder Text"/>
    <w:qFormat/>
    <w:uiPriority w:val="99"/>
    <w:rPr>
      <w:rFonts w:cs="Times New Roman"/>
      <w:color w:val="808080"/>
    </w:rPr>
  </w:style>
  <w:style w:type="character" w:customStyle="1" w:styleId="22">
    <w:name w:val="批注框文本 字符"/>
    <w:link w:val="6"/>
    <w:qFormat/>
    <w:uiPriority w:val="99"/>
    <w:rPr>
      <w:rFonts w:ascii="Times New Roman" w:hAnsi="Times New Roman" w:eastAsia="宋体" w:cs="Times New Roman"/>
      <w:sz w:val="18"/>
      <w:szCs w:val="18"/>
    </w:rPr>
  </w:style>
  <w:style w:type="character" w:customStyle="1" w:styleId="23">
    <w:name w:val="fontstyle01"/>
    <w:qFormat/>
    <w:uiPriority w:val="0"/>
    <w:rPr>
      <w:rFonts w:hint="eastAsia" w:ascii="仿宋" w:hAnsi="仿宋" w:eastAsia="仿宋"/>
      <w:color w:val="000000"/>
      <w:sz w:val="24"/>
      <w:szCs w:val="24"/>
    </w:rPr>
  </w:style>
  <w:style w:type="character" w:customStyle="1" w:styleId="24">
    <w:name w:val="批注文字 字符"/>
    <w:link w:val="4"/>
    <w:qFormat/>
    <w:uiPriority w:val="99"/>
    <w:rPr>
      <w:rFonts w:ascii="Times New Roman" w:hAnsi="Times New Roman"/>
      <w:kern w:val="2"/>
      <w:sz w:val="21"/>
      <w:szCs w:val="22"/>
    </w:rPr>
  </w:style>
  <w:style w:type="character" w:customStyle="1" w:styleId="25">
    <w:name w:val="批注主题 字符"/>
    <w:link w:val="11"/>
    <w:qFormat/>
    <w:uiPriority w:val="99"/>
    <w:rPr>
      <w:rFonts w:ascii="Times New Roman" w:hAnsi="Times New Roman"/>
      <w:b/>
      <w:bCs/>
      <w:kern w:val="2"/>
      <w:sz w:val="21"/>
      <w:szCs w:val="22"/>
    </w:rPr>
  </w:style>
  <w:style w:type="character" w:customStyle="1" w:styleId="26">
    <w:name w:val="font01"/>
    <w:qFormat/>
    <w:uiPriority w:val="0"/>
    <w:rPr>
      <w:rFonts w:hint="eastAsia" w:ascii="宋体" w:hAnsi="宋体" w:eastAsia="宋体" w:cs="宋体"/>
      <w:color w:val="000000"/>
      <w:sz w:val="18"/>
      <w:szCs w:val="18"/>
      <w:u w:val="none"/>
    </w:rPr>
  </w:style>
  <w:style w:type="character" w:customStyle="1" w:styleId="27">
    <w:name w:val="NormalCharacter"/>
    <w:qFormat/>
    <w:uiPriority w:val="0"/>
  </w:style>
  <w:style w:type="paragraph" w:customStyle="1" w:styleId="28">
    <w:name w:val="UserStyle_5"/>
    <w:basedOn w:val="1"/>
    <w:qFormat/>
    <w:uiPriority w:val="0"/>
    <w:pPr>
      <w:widowControl/>
      <w:snapToGrid w:val="0"/>
      <w:spacing w:before="100" w:beforeAutospacing="1" w:after="100" w:afterAutospacing="1" w:line="360" w:lineRule="auto"/>
    </w:pPr>
    <w:rPr>
      <w:rFonts w:eastAsia="黑体" w:cs="宋体"/>
      <w:szCs w:val="28"/>
    </w:rPr>
  </w:style>
  <w:style w:type="character" w:customStyle="1" w:styleId="29">
    <w:name w:val="标题 2 字符"/>
    <w:link w:val="3"/>
    <w:qFormat/>
    <w:uiPriority w:val="0"/>
    <w:rPr>
      <w:rFonts w:ascii="Cambria" w:hAnsi="Cambria" w:eastAsia="宋体" w:cs="宋体"/>
      <w:bCs/>
      <w:kern w:val="2"/>
      <w:sz w:val="24"/>
      <w:szCs w:val="32"/>
    </w:rPr>
  </w:style>
  <w:style w:type="character" w:customStyle="1" w:styleId="30">
    <w:name w:val="标题 1 字符"/>
    <w:link w:val="2"/>
    <w:qFormat/>
    <w:uiPriority w:val="0"/>
    <w:rPr>
      <w:b/>
      <w:kern w:val="44"/>
      <w:sz w:val="24"/>
    </w:rPr>
  </w:style>
  <w:style w:type="paragraph" w:styleId="31">
    <w:name w:val="List Paragraph"/>
    <w:basedOn w:val="1"/>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FBEE8D-0B58-44F3-8759-E21519B2F3AD}">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18</Pages>
  <Words>2262</Words>
  <Characters>12894</Characters>
  <Lines>107</Lines>
  <Paragraphs>30</Paragraphs>
  <TotalTime>7</TotalTime>
  <ScaleCrop>false</ScaleCrop>
  <LinksUpToDate>false</LinksUpToDate>
  <CharactersWithSpaces>15126</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2019-08-28T07:03:00Z</dcterms:created>
  <dc:creator>1</dc:creator>
  <cp:lastModifiedBy>司徒</cp:lastModifiedBy>
  <cp:lastPrinted>2019-08-16T06:34:00Z</cp:lastPrinted>
  <dcterms:modified xsi:type="dcterms:W3CDTF">2019-11-08T07:58:44Z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y fmtid="{D5CDD505-2E9C-101B-9397-08002B2CF9AE}" pid="3" name="KSORubyTemplateID" linkTarget="0">
    <vt:lpwstr>6</vt:lpwstr>
  </property>
</Properties>
</file>