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pacing w:before="0" w:beforeAutospacing="0" w:after="0" w:afterAutospacing="0" w:line="240" w:lineRule="auto"/>
        <w:ind w:firstLine="0" w:firstLineChars="0"/>
        <w:jc w:val="center"/>
        <w:rPr>
          <w:rStyle w:val="16"/>
          <w:rFonts w:ascii="宋体" w:hAnsi="宋体" w:eastAsia="宋体"/>
          <w:b/>
          <w:sz w:val="44"/>
          <w:szCs w:val="44"/>
        </w:rPr>
      </w:pPr>
      <w:r>
        <w:rPr>
          <w:rStyle w:val="16"/>
          <w:rFonts w:hint="eastAsia" w:ascii="宋体" w:hAnsi="宋体" w:eastAsia="宋体"/>
          <w:b/>
          <w:sz w:val="44"/>
          <w:szCs w:val="44"/>
        </w:rPr>
        <w:t>现代物业管理</w:t>
      </w:r>
      <w:r>
        <w:rPr>
          <w:rStyle w:val="16"/>
          <w:rFonts w:ascii="宋体" w:hAnsi="宋体" w:eastAsia="宋体"/>
          <w:b/>
          <w:sz w:val="44"/>
          <w:szCs w:val="44"/>
        </w:rPr>
        <w:t>专业人才培养方案</w:t>
      </w:r>
    </w:p>
    <w:p>
      <w:pPr>
        <w:pStyle w:val="26"/>
        <w:spacing w:before="0" w:beforeAutospacing="0" w:after="0" w:afterAutospacing="0" w:line="240" w:lineRule="auto"/>
        <w:ind w:firstLine="0" w:firstLineChars="0"/>
        <w:jc w:val="center"/>
        <w:rPr>
          <w:rStyle w:val="16"/>
          <w:rFonts w:ascii="宋体" w:hAnsi="宋体" w:eastAsia="宋体"/>
          <w:b/>
          <w:sz w:val="44"/>
          <w:szCs w:val="44"/>
        </w:rPr>
      </w:pPr>
      <w:r>
        <w:rPr>
          <w:rStyle w:val="16"/>
          <w:rFonts w:ascii="宋体" w:hAnsi="宋体" w:eastAsia="宋体"/>
          <w:b/>
          <w:sz w:val="44"/>
          <w:szCs w:val="44"/>
        </w:rPr>
        <w:t>编制说明</w:t>
      </w:r>
    </w:p>
    <w:p>
      <w:pPr>
        <w:pStyle w:val="26"/>
        <w:spacing w:before="0" w:beforeAutospacing="0" w:after="0" w:afterAutospacing="0" w:line="240" w:lineRule="auto"/>
        <w:ind w:firstLine="880"/>
        <w:jc w:val="center"/>
        <w:rPr>
          <w:rStyle w:val="16"/>
          <w:rFonts w:ascii="宋体" w:hAnsi="宋体" w:eastAsia="宋体"/>
          <w:sz w:val="44"/>
          <w:szCs w:val="44"/>
        </w:rPr>
      </w:pPr>
    </w:p>
    <w:p>
      <w:pPr>
        <w:ind w:firstLine="664" w:firstLineChars="200"/>
        <w:rPr>
          <w:rStyle w:val="16"/>
          <w:rFonts w:ascii="仿宋" w:hAnsi="仿宋" w:eastAsia="仿宋"/>
          <w:spacing w:val="6"/>
          <w:kern w:val="0"/>
          <w:sz w:val="32"/>
          <w:szCs w:val="32"/>
        </w:rPr>
      </w:pPr>
      <w:r>
        <w:rPr>
          <w:rStyle w:val="16"/>
          <w:rFonts w:hint="eastAsia" w:ascii="仿宋" w:hAnsi="仿宋" w:eastAsia="仿宋" w:cs="Times New Roman"/>
          <w:spacing w:val="6"/>
          <w:kern w:val="0"/>
          <w:sz w:val="32"/>
          <w:szCs w:val="32"/>
        </w:rPr>
        <w:t>本专业人才培养方案适用于三年全日制物业管理专业，由洛阳职业技术学院物业管理专业建设指导委员会组织专家和专业教师，与龙祥物业管理有限公司、索克科技集团、碧桂园洛阳分公司等企业合作共同制订。</w:t>
      </w:r>
      <w:r>
        <w:rPr>
          <w:rStyle w:val="16"/>
          <w:rFonts w:ascii="仿宋" w:hAnsi="仿宋" w:eastAsia="仿宋"/>
          <w:spacing w:val="6"/>
          <w:kern w:val="0"/>
          <w:sz w:val="32"/>
          <w:szCs w:val="32"/>
        </w:rPr>
        <w:t>从202</w:t>
      </w:r>
      <w:r>
        <w:rPr>
          <w:rStyle w:val="16"/>
          <w:rFonts w:hint="eastAsia" w:ascii="仿宋" w:hAnsi="仿宋" w:eastAsia="仿宋"/>
          <w:spacing w:val="6"/>
          <w:kern w:val="0"/>
          <w:sz w:val="32"/>
          <w:szCs w:val="32"/>
        </w:rPr>
        <w:t>3</w:t>
      </w:r>
      <w:r>
        <w:rPr>
          <w:rStyle w:val="16"/>
          <w:rFonts w:ascii="仿宋" w:hAnsi="仿宋" w:eastAsia="仿宋"/>
          <w:spacing w:val="6"/>
          <w:kern w:val="0"/>
          <w:sz w:val="32"/>
          <w:szCs w:val="32"/>
        </w:rPr>
        <w:t>级</w:t>
      </w:r>
      <w:r>
        <w:rPr>
          <w:rStyle w:val="16"/>
          <w:rFonts w:hint="eastAsia" w:ascii="仿宋" w:hAnsi="仿宋" w:eastAsia="仿宋"/>
          <w:spacing w:val="6"/>
          <w:kern w:val="0"/>
          <w:sz w:val="32"/>
          <w:szCs w:val="32"/>
        </w:rPr>
        <w:t>现代物业管理</w:t>
      </w:r>
      <w:r>
        <w:rPr>
          <w:rStyle w:val="16"/>
          <w:rFonts w:ascii="仿宋" w:hAnsi="仿宋" w:eastAsia="仿宋"/>
          <w:spacing w:val="6"/>
          <w:kern w:val="0"/>
          <w:sz w:val="32"/>
          <w:szCs w:val="32"/>
        </w:rPr>
        <w:t>专业学生开始实施。</w:t>
      </w:r>
    </w:p>
    <w:p>
      <w:pPr>
        <w:ind w:firstLine="664" w:firstLineChars="200"/>
        <w:rPr>
          <w:rStyle w:val="16"/>
          <w:rFonts w:ascii="仿宋" w:hAnsi="仿宋" w:eastAsia="仿宋"/>
          <w:spacing w:val="6"/>
          <w:kern w:val="0"/>
          <w:sz w:val="32"/>
          <w:szCs w:val="32"/>
        </w:rPr>
      </w:pPr>
    </w:p>
    <w:p>
      <w:pPr>
        <w:pStyle w:val="26"/>
        <w:spacing w:before="0" w:beforeAutospacing="0" w:after="0" w:afterAutospacing="0" w:line="240" w:lineRule="auto"/>
        <w:ind w:firstLine="643"/>
        <w:jc w:val="center"/>
        <w:rPr>
          <w:rStyle w:val="16"/>
          <w:rFonts w:ascii="仿宋" w:hAnsi="仿宋" w:eastAsia="仿宋"/>
          <w:b/>
          <w:sz w:val="32"/>
          <w:szCs w:val="32"/>
        </w:rPr>
      </w:pPr>
      <w:r>
        <w:rPr>
          <w:rStyle w:val="16"/>
          <w:rFonts w:ascii="仿宋" w:hAnsi="仿宋" w:eastAsia="仿宋"/>
          <w:b/>
          <w:sz w:val="32"/>
          <w:szCs w:val="32"/>
        </w:rPr>
        <w:t>主要编制人员一览表</w:t>
      </w:r>
    </w:p>
    <w:tbl>
      <w:tblPr>
        <w:tblStyle w:val="11"/>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600"/>
        <w:gridCol w:w="1422"/>
        <w:gridCol w:w="3256"/>
        <w:gridCol w:w="2268"/>
        <w:gridCol w:w="1594"/>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序号</w:t>
            </w:r>
          </w:p>
        </w:tc>
        <w:tc>
          <w:tcPr>
            <w:tcW w:w="1422"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姓名</w:t>
            </w:r>
          </w:p>
        </w:tc>
        <w:tc>
          <w:tcPr>
            <w:tcW w:w="3256"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所在单位</w:t>
            </w:r>
          </w:p>
        </w:tc>
        <w:tc>
          <w:tcPr>
            <w:tcW w:w="2268"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职称/职务</w:t>
            </w:r>
          </w:p>
        </w:tc>
        <w:tc>
          <w:tcPr>
            <w:tcW w:w="1594"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签名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1</w:t>
            </w:r>
          </w:p>
        </w:tc>
        <w:tc>
          <w:tcPr>
            <w:tcW w:w="1422"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王军华</w:t>
            </w:r>
          </w:p>
        </w:tc>
        <w:tc>
          <w:tcPr>
            <w:tcW w:w="3256"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洛阳职业技术学院</w:t>
            </w:r>
            <w:r>
              <w:rPr>
                <w:rStyle w:val="16"/>
                <w:rFonts w:hint="eastAsia" w:ascii="仿宋" w:hAnsi="仿宋" w:eastAsia="仿宋"/>
                <w:szCs w:val="21"/>
              </w:rPr>
              <w:t>电商物流学院</w:t>
            </w:r>
          </w:p>
        </w:tc>
        <w:tc>
          <w:tcPr>
            <w:tcW w:w="2268"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教授</w:t>
            </w:r>
            <w:r>
              <w:rPr>
                <w:rStyle w:val="16"/>
                <w:rFonts w:hint="eastAsia" w:ascii="仿宋" w:hAnsi="仿宋" w:eastAsia="仿宋"/>
                <w:szCs w:val="21"/>
              </w:rPr>
              <w:t>/院长</w:t>
            </w:r>
          </w:p>
        </w:tc>
        <w:tc>
          <w:tcPr>
            <w:tcW w:w="1594"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2</w:t>
            </w:r>
          </w:p>
        </w:tc>
        <w:tc>
          <w:tcPr>
            <w:tcW w:w="1422"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张</w:t>
            </w:r>
            <w:r>
              <w:rPr>
                <w:rStyle w:val="16"/>
                <w:rFonts w:hint="eastAsia" w:ascii="仿宋" w:hAnsi="仿宋" w:eastAsia="仿宋"/>
                <w:szCs w:val="21"/>
              </w:rPr>
              <w:t xml:space="preserve">  </w:t>
            </w:r>
            <w:r>
              <w:rPr>
                <w:rStyle w:val="16"/>
                <w:rFonts w:ascii="仿宋" w:hAnsi="仿宋" w:eastAsia="仿宋"/>
                <w:szCs w:val="21"/>
              </w:rPr>
              <w:t>靖</w:t>
            </w:r>
          </w:p>
        </w:tc>
        <w:tc>
          <w:tcPr>
            <w:tcW w:w="3256"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洛阳职业技术学院</w:t>
            </w:r>
            <w:r>
              <w:rPr>
                <w:rStyle w:val="16"/>
                <w:rFonts w:hint="eastAsia" w:ascii="仿宋" w:hAnsi="仿宋" w:eastAsia="仿宋"/>
                <w:szCs w:val="21"/>
              </w:rPr>
              <w:t>电商物流学院</w:t>
            </w:r>
          </w:p>
        </w:tc>
        <w:tc>
          <w:tcPr>
            <w:tcW w:w="2268"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副教授/副院长</w:t>
            </w:r>
          </w:p>
        </w:tc>
        <w:tc>
          <w:tcPr>
            <w:tcW w:w="1594"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3</w:t>
            </w:r>
          </w:p>
        </w:tc>
        <w:tc>
          <w:tcPr>
            <w:tcW w:w="1422" w:type="dxa"/>
            <w:shd w:val="clear" w:color="auto" w:fill="auto"/>
            <w:vAlign w:val="center"/>
          </w:tcPr>
          <w:p>
            <w:pPr>
              <w:jc w:val="center"/>
              <w:rPr>
                <w:rFonts w:ascii="仿宋" w:hAnsi="仿宋" w:eastAsia="仿宋"/>
                <w:szCs w:val="21"/>
              </w:rPr>
            </w:pPr>
            <w:r>
              <w:rPr>
                <w:rStyle w:val="16"/>
                <w:rFonts w:ascii="仿宋" w:hAnsi="仿宋" w:eastAsia="仿宋"/>
                <w:szCs w:val="21"/>
              </w:rPr>
              <w:t>范艳艳</w:t>
            </w:r>
          </w:p>
        </w:tc>
        <w:tc>
          <w:tcPr>
            <w:tcW w:w="3256" w:type="dxa"/>
            <w:shd w:val="clear" w:color="auto" w:fill="auto"/>
            <w:vAlign w:val="center"/>
          </w:tcPr>
          <w:p>
            <w:pPr>
              <w:jc w:val="center"/>
              <w:rPr>
                <w:rFonts w:ascii="仿宋" w:hAnsi="仿宋" w:eastAsia="仿宋"/>
                <w:szCs w:val="21"/>
              </w:rPr>
            </w:pPr>
            <w:r>
              <w:rPr>
                <w:rStyle w:val="16"/>
                <w:rFonts w:ascii="仿宋" w:hAnsi="仿宋" w:eastAsia="仿宋"/>
                <w:szCs w:val="21"/>
              </w:rPr>
              <w:t>洛阳职业技术学院</w:t>
            </w:r>
            <w:r>
              <w:rPr>
                <w:rStyle w:val="16"/>
                <w:rFonts w:hint="eastAsia" w:ascii="仿宋" w:hAnsi="仿宋" w:eastAsia="仿宋"/>
                <w:szCs w:val="21"/>
              </w:rPr>
              <w:t>电商物流学院</w:t>
            </w:r>
          </w:p>
        </w:tc>
        <w:tc>
          <w:tcPr>
            <w:tcW w:w="2268" w:type="dxa"/>
            <w:shd w:val="clear" w:color="auto" w:fill="auto"/>
            <w:vAlign w:val="center"/>
          </w:tcPr>
          <w:p>
            <w:pPr>
              <w:jc w:val="center"/>
              <w:rPr>
                <w:rFonts w:ascii="仿宋" w:hAnsi="仿宋" w:eastAsia="仿宋"/>
                <w:szCs w:val="21"/>
              </w:rPr>
            </w:pPr>
            <w:r>
              <w:rPr>
                <w:rStyle w:val="16"/>
                <w:rFonts w:hint="eastAsia" w:ascii="仿宋" w:hAnsi="仿宋" w:eastAsia="仿宋"/>
                <w:szCs w:val="21"/>
              </w:rPr>
              <w:t>助教</w:t>
            </w:r>
          </w:p>
        </w:tc>
        <w:tc>
          <w:tcPr>
            <w:tcW w:w="1594"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4</w:t>
            </w:r>
          </w:p>
        </w:tc>
        <w:tc>
          <w:tcPr>
            <w:tcW w:w="1422" w:type="dxa"/>
            <w:shd w:val="clear" w:color="auto" w:fill="auto"/>
            <w:vAlign w:val="center"/>
          </w:tcPr>
          <w:p>
            <w:pPr>
              <w:jc w:val="center"/>
              <w:rPr>
                <w:rFonts w:ascii="仿宋" w:hAnsi="仿宋" w:eastAsia="仿宋"/>
                <w:szCs w:val="21"/>
              </w:rPr>
            </w:pPr>
            <w:r>
              <w:rPr>
                <w:rStyle w:val="16"/>
                <w:rFonts w:ascii="仿宋" w:hAnsi="仿宋" w:eastAsia="仿宋"/>
                <w:szCs w:val="21"/>
              </w:rPr>
              <w:t>范晓焰</w:t>
            </w:r>
          </w:p>
        </w:tc>
        <w:tc>
          <w:tcPr>
            <w:tcW w:w="3256" w:type="dxa"/>
            <w:shd w:val="clear" w:color="auto" w:fill="auto"/>
            <w:vAlign w:val="center"/>
          </w:tcPr>
          <w:p>
            <w:pPr>
              <w:jc w:val="center"/>
              <w:rPr>
                <w:rFonts w:ascii="仿宋" w:hAnsi="仿宋" w:eastAsia="仿宋"/>
                <w:szCs w:val="21"/>
              </w:rPr>
            </w:pPr>
            <w:r>
              <w:rPr>
                <w:rStyle w:val="16"/>
                <w:rFonts w:ascii="仿宋" w:hAnsi="仿宋" w:eastAsia="仿宋"/>
                <w:szCs w:val="21"/>
              </w:rPr>
              <w:t>龙祥物业管理</w:t>
            </w:r>
            <w:r>
              <w:rPr>
                <w:rStyle w:val="16"/>
                <w:rFonts w:hint="eastAsia" w:ascii="仿宋" w:hAnsi="仿宋" w:eastAsia="仿宋"/>
                <w:szCs w:val="21"/>
              </w:rPr>
              <w:t>有限</w:t>
            </w:r>
            <w:r>
              <w:rPr>
                <w:rStyle w:val="16"/>
                <w:rFonts w:ascii="仿宋" w:hAnsi="仿宋" w:eastAsia="仿宋"/>
                <w:szCs w:val="21"/>
              </w:rPr>
              <w:t>公司</w:t>
            </w:r>
          </w:p>
        </w:tc>
        <w:tc>
          <w:tcPr>
            <w:tcW w:w="2268" w:type="dxa"/>
            <w:shd w:val="clear" w:color="auto" w:fill="auto"/>
            <w:vAlign w:val="center"/>
          </w:tcPr>
          <w:p>
            <w:pPr>
              <w:jc w:val="center"/>
              <w:rPr>
                <w:rFonts w:ascii="仿宋" w:hAnsi="仿宋" w:eastAsia="仿宋"/>
                <w:szCs w:val="21"/>
              </w:rPr>
            </w:pPr>
            <w:r>
              <w:rPr>
                <w:rStyle w:val="16"/>
                <w:rFonts w:ascii="仿宋" w:hAnsi="仿宋" w:eastAsia="仿宋"/>
                <w:szCs w:val="21"/>
              </w:rPr>
              <w:t>总经理</w:t>
            </w:r>
          </w:p>
        </w:tc>
        <w:tc>
          <w:tcPr>
            <w:tcW w:w="1594"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5</w:t>
            </w:r>
          </w:p>
        </w:tc>
        <w:tc>
          <w:tcPr>
            <w:tcW w:w="1422" w:type="dxa"/>
            <w:shd w:val="clear" w:color="auto" w:fill="auto"/>
            <w:vAlign w:val="center"/>
          </w:tcPr>
          <w:p>
            <w:pPr>
              <w:jc w:val="center"/>
              <w:rPr>
                <w:rFonts w:ascii="仿宋" w:hAnsi="仿宋" w:eastAsia="仿宋"/>
                <w:szCs w:val="21"/>
              </w:rPr>
            </w:pPr>
            <w:r>
              <w:rPr>
                <w:rStyle w:val="16"/>
                <w:rFonts w:hint="eastAsia" w:ascii="仿宋" w:hAnsi="仿宋" w:eastAsia="仿宋"/>
                <w:szCs w:val="21"/>
              </w:rPr>
              <w:t>颜士淞</w:t>
            </w:r>
          </w:p>
        </w:tc>
        <w:tc>
          <w:tcPr>
            <w:tcW w:w="3256" w:type="dxa"/>
            <w:shd w:val="clear" w:color="auto" w:fill="auto"/>
            <w:vAlign w:val="center"/>
          </w:tcPr>
          <w:p>
            <w:pPr>
              <w:jc w:val="center"/>
              <w:rPr>
                <w:rFonts w:ascii="仿宋" w:hAnsi="仿宋" w:eastAsia="仿宋"/>
                <w:szCs w:val="21"/>
              </w:rPr>
            </w:pPr>
            <w:r>
              <w:rPr>
                <w:rStyle w:val="16"/>
                <w:rFonts w:hint="eastAsia" w:ascii="仿宋" w:hAnsi="仿宋" w:eastAsia="仿宋"/>
                <w:szCs w:val="21"/>
              </w:rPr>
              <w:t>北京京东世纪贸易有限公司</w:t>
            </w:r>
          </w:p>
        </w:tc>
        <w:tc>
          <w:tcPr>
            <w:tcW w:w="2268" w:type="dxa"/>
            <w:shd w:val="clear" w:color="auto" w:fill="auto"/>
            <w:vAlign w:val="center"/>
          </w:tcPr>
          <w:p>
            <w:pPr>
              <w:jc w:val="center"/>
              <w:rPr>
                <w:rFonts w:ascii="仿宋" w:hAnsi="仿宋" w:eastAsia="仿宋"/>
                <w:szCs w:val="21"/>
              </w:rPr>
            </w:pPr>
            <w:r>
              <w:rPr>
                <w:rStyle w:val="16"/>
                <w:rFonts w:ascii="仿宋" w:hAnsi="仿宋" w:eastAsia="仿宋"/>
                <w:szCs w:val="21"/>
              </w:rPr>
              <w:t>经理</w:t>
            </w:r>
          </w:p>
        </w:tc>
        <w:tc>
          <w:tcPr>
            <w:tcW w:w="1594"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6</w:t>
            </w:r>
          </w:p>
        </w:tc>
        <w:tc>
          <w:tcPr>
            <w:tcW w:w="1422" w:type="dxa"/>
            <w:shd w:val="clear" w:color="auto" w:fill="auto"/>
            <w:vAlign w:val="center"/>
          </w:tcPr>
          <w:p>
            <w:pPr>
              <w:jc w:val="center"/>
              <w:rPr>
                <w:rFonts w:ascii="仿宋" w:hAnsi="仿宋" w:eastAsia="仿宋"/>
                <w:szCs w:val="21"/>
              </w:rPr>
            </w:pPr>
            <w:r>
              <w:rPr>
                <w:rStyle w:val="16"/>
                <w:rFonts w:hint="eastAsia" w:ascii="仿宋" w:hAnsi="仿宋" w:eastAsia="仿宋"/>
                <w:szCs w:val="21"/>
              </w:rPr>
              <w:t>侯丽萍</w:t>
            </w:r>
          </w:p>
        </w:tc>
        <w:tc>
          <w:tcPr>
            <w:tcW w:w="3256" w:type="dxa"/>
            <w:shd w:val="clear" w:color="auto" w:fill="auto"/>
            <w:vAlign w:val="center"/>
          </w:tcPr>
          <w:p>
            <w:pPr>
              <w:jc w:val="center"/>
              <w:rPr>
                <w:rFonts w:ascii="仿宋" w:hAnsi="仿宋" w:eastAsia="仿宋"/>
                <w:szCs w:val="21"/>
              </w:rPr>
            </w:pPr>
            <w:r>
              <w:rPr>
                <w:rStyle w:val="16"/>
                <w:rFonts w:hint="eastAsia" w:ascii="仿宋" w:hAnsi="仿宋" w:eastAsia="仿宋"/>
                <w:szCs w:val="21"/>
              </w:rPr>
              <w:t>河南经贸职业学院</w:t>
            </w:r>
          </w:p>
        </w:tc>
        <w:tc>
          <w:tcPr>
            <w:tcW w:w="2268" w:type="dxa"/>
            <w:shd w:val="clear" w:color="auto" w:fill="auto"/>
            <w:vAlign w:val="center"/>
          </w:tcPr>
          <w:p>
            <w:pPr>
              <w:jc w:val="center"/>
              <w:rPr>
                <w:rFonts w:ascii="仿宋" w:hAnsi="仿宋" w:eastAsia="仿宋"/>
                <w:szCs w:val="21"/>
              </w:rPr>
            </w:pPr>
            <w:r>
              <w:rPr>
                <w:rStyle w:val="16"/>
                <w:rFonts w:hint="eastAsia" w:ascii="仿宋" w:hAnsi="仿宋" w:eastAsia="仿宋"/>
                <w:szCs w:val="21"/>
              </w:rPr>
              <w:t>副院长/教授</w:t>
            </w:r>
          </w:p>
        </w:tc>
        <w:tc>
          <w:tcPr>
            <w:tcW w:w="1594"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exact"/>
        </w:trPr>
        <w:tc>
          <w:tcPr>
            <w:tcW w:w="600"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7</w:t>
            </w:r>
          </w:p>
        </w:tc>
        <w:tc>
          <w:tcPr>
            <w:tcW w:w="1422" w:type="dxa"/>
            <w:shd w:val="clear" w:color="auto" w:fill="auto"/>
            <w:vAlign w:val="center"/>
          </w:tcPr>
          <w:p>
            <w:pPr>
              <w:jc w:val="center"/>
              <w:rPr>
                <w:rFonts w:ascii="仿宋" w:hAnsi="仿宋" w:eastAsia="仿宋"/>
                <w:szCs w:val="21"/>
              </w:rPr>
            </w:pPr>
            <w:r>
              <w:rPr>
                <w:rStyle w:val="16"/>
                <w:rFonts w:hint="eastAsia" w:ascii="仿宋" w:hAnsi="仿宋" w:eastAsia="仿宋"/>
                <w:szCs w:val="21"/>
              </w:rPr>
              <w:t>张  毅</w:t>
            </w:r>
          </w:p>
        </w:tc>
        <w:tc>
          <w:tcPr>
            <w:tcW w:w="3256" w:type="dxa"/>
            <w:shd w:val="clear" w:color="auto" w:fill="auto"/>
            <w:vAlign w:val="center"/>
          </w:tcPr>
          <w:p>
            <w:pPr>
              <w:jc w:val="center"/>
              <w:rPr>
                <w:rFonts w:ascii="仿宋" w:hAnsi="仿宋" w:eastAsia="仿宋"/>
                <w:szCs w:val="21"/>
              </w:rPr>
            </w:pPr>
            <w:r>
              <w:rPr>
                <w:rStyle w:val="16"/>
                <w:rFonts w:hint="eastAsia" w:ascii="仿宋" w:hAnsi="仿宋" w:eastAsia="仿宋"/>
                <w:szCs w:val="21"/>
              </w:rPr>
              <w:t>洛阳师范学院</w:t>
            </w:r>
          </w:p>
        </w:tc>
        <w:tc>
          <w:tcPr>
            <w:tcW w:w="2268" w:type="dxa"/>
            <w:shd w:val="clear" w:color="auto" w:fill="auto"/>
            <w:vAlign w:val="center"/>
          </w:tcPr>
          <w:p>
            <w:pPr>
              <w:jc w:val="center"/>
              <w:rPr>
                <w:rFonts w:ascii="仿宋" w:hAnsi="仿宋" w:eastAsia="仿宋"/>
                <w:szCs w:val="21"/>
              </w:rPr>
            </w:pPr>
            <w:r>
              <w:rPr>
                <w:rStyle w:val="16"/>
                <w:rFonts w:ascii="仿宋" w:hAnsi="仿宋" w:eastAsia="仿宋"/>
                <w:szCs w:val="21"/>
              </w:rPr>
              <w:t>副教授</w:t>
            </w:r>
          </w:p>
        </w:tc>
        <w:tc>
          <w:tcPr>
            <w:tcW w:w="1594" w:type="dxa"/>
            <w:shd w:val="clear" w:color="auto" w:fill="auto"/>
            <w:vAlign w:val="center"/>
          </w:tcPr>
          <w:p>
            <w:pPr>
              <w:rPr>
                <w:rStyle w:val="16"/>
                <w:rFonts w:ascii="仿宋" w:hAnsi="仿宋" w:eastAsia="仿宋"/>
                <w:szCs w:val="21"/>
              </w:rPr>
            </w:pPr>
          </w:p>
        </w:tc>
      </w:tr>
    </w:tbl>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r>
        <w:rPr>
          <w:rStyle w:val="16"/>
          <w:rFonts w:ascii="仿宋" w:hAnsi="仿宋" w:eastAsia="仿宋"/>
          <w:sz w:val="32"/>
          <w:szCs w:val="32"/>
        </w:rPr>
        <w:t>复核人：</w:t>
      </w: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ind w:firstLine="3840" w:firstLineChars="1200"/>
        <w:jc w:val="left"/>
        <w:rPr>
          <w:rStyle w:val="16"/>
          <w:rFonts w:ascii="仿宋" w:hAnsi="仿宋" w:eastAsia="仿宋"/>
          <w:sz w:val="32"/>
          <w:szCs w:val="32"/>
        </w:rPr>
      </w:pPr>
      <w:r>
        <w:rPr>
          <w:rStyle w:val="16"/>
          <w:rFonts w:hint="eastAsia" w:ascii="仿宋" w:hAnsi="仿宋" w:eastAsia="仿宋"/>
          <w:sz w:val="32"/>
          <w:szCs w:val="32"/>
        </w:rPr>
        <w:t>专业负责人（签字）：</w:t>
      </w:r>
    </w:p>
    <w:p>
      <w:pPr>
        <w:jc w:val="left"/>
        <w:rPr>
          <w:rStyle w:val="16"/>
          <w:rFonts w:ascii="仿宋" w:hAnsi="仿宋" w:eastAsia="仿宋"/>
          <w:sz w:val="32"/>
          <w:szCs w:val="32"/>
        </w:rPr>
      </w:pPr>
    </w:p>
    <w:p>
      <w:pPr>
        <w:jc w:val="left"/>
        <w:rPr>
          <w:rStyle w:val="16"/>
          <w:rFonts w:ascii="仿宋" w:hAnsi="仿宋" w:eastAsia="仿宋"/>
          <w:sz w:val="32"/>
          <w:szCs w:val="32"/>
        </w:rPr>
      </w:pPr>
    </w:p>
    <w:p>
      <w:pPr>
        <w:spacing w:line="440" w:lineRule="exact"/>
        <w:jc w:val="center"/>
        <w:rPr>
          <w:rFonts w:ascii="华文仿宋" w:hAnsi="华文仿宋" w:eastAsia="华文仿宋"/>
          <w:b/>
          <w:sz w:val="32"/>
          <w:szCs w:val="32"/>
        </w:rPr>
      </w:pPr>
      <w:bookmarkStart w:id="0" w:name="_Toc312243478"/>
      <w:bookmarkStart w:id="1" w:name="_Hlk44952300"/>
      <w:r>
        <w:rPr>
          <w:rFonts w:hint="eastAsia" w:ascii="华文仿宋" w:hAnsi="华文仿宋" w:eastAsia="华文仿宋"/>
          <w:b/>
          <w:sz w:val="32"/>
          <w:szCs w:val="32"/>
        </w:rPr>
        <w:t>现代物业管理专业人才培养方案</w:t>
      </w:r>
      <w:bookmarkEnd w:id="0"/>
    </w:p>
    <w:p>
      <w:pPr>
        <w:suppressAutoHyphens/>
        <w:spacing w:line="440" w:lineRule="exact"/>
        <w:rPr>
          <w:rFonts w:ascii="宋体" w:hAnsi="宋体"/>
          <w:sz w:val="24"/>
        </w:rPr>
      </w:pPr>
    </w:p>
    <w:p>
      <w:pPr>
        <w:spacing w:before="156" w:beforeLines="50" w:line="440" w:lineRule="exact"/>
        <w:rPr>
          <w:rFonts w:ascii="宋体" w:hAnsi="宋体"/>
          <w:b/>
          <w:sz w:val="24"/>
        </w:rPr>
      </w:pPr>
      <w:r>
        <w:rPr>
          <w:rFonts w:hint="eastAsia" w:ascii="宋体" w:hAnsi="宋体"/>
          <w:b/>
          <w:sz w:val="24"/>
        </w:rPr>
        <w:t>一、专业名称、代码及入学要求</w:t>
      </w:r>
    </w:p>
    <w:p>
      <w:pPr>
        <w:spacing w:before="156" w:beforeLines="50" w:line="440" w:lineRule="exact"/>
        <w:rPr>
          <w:rFonts w:ascii="宋体" w:hAnsi="宋体"/>
          <w:sz w:val="24"/>
        </w:rPr>
      </w:pPr>
      <w:r>
        <w:rPr>
          <w:rFonts w:hint="eastAsia" w:ascii="宋体" w:hAnsi="宋体"/>
          <w:sz w:val="24"/>
        </w:rPr>
        <w:t>专业名称：现代物业管理</w:t>
      </w:r>
    </w:p>
    <w:p>
      <w:pPr>
        <w:spacing w:line="440" w:lineRule="exact"/>
        <w:rPr>
          <w:rFonts w:ascii="宋体" w:hAnsi="宋体"/>
          <w:sz w:val="24"/>
        </w:rPr>
      </w:pPr>
      <w:r>
        <w:rPr>
          <w:rFonts w:hint="eastAsia" w:ascii="宋体" w:hAnsi="宋体"/>
          <w:sz w:val="24"/>
        </w:rPr>
        <w:t>专业代码：440703</w:t>
      </w:r>
    </w:p>
    <w:p>
      <w:pPr>
        <w:spacing w:before="156" w:beforeLines="50" w:line="440" w:lineRule="exact"/>
        <w:rPr>
          <w:rFonts w:ascii="宋体" w:hAnsi="宋体"/>
          <w:b/>
          <w:sz w:val="24"/>
        </w:rPr>
      </w:pPr>
      <w:r>
        <w:rPr>
          <w:rFonts w:hint="eastAsia" w:ascii="宋体" w:hAnsi="宋体"/>
          <w:b/>
          <w:sz w:val="24"/>
        </w:rPr>
        <w:t>二、入学要求：</w:t>
      </w:r>
    </w:p>
    <w:p>
      <w:pPr>
        <w:spacing w:before="156" w:beforeLines="50" w:line="440" w:lineRule="exact"/>
        <w:rPr>
          <w:rFonts w:ascii="宋体" w:hAnsi="宋体"/>
          <w:sz w:val="24"/>
        </w:rPr>
      </w:pPr>
      <w:r>
        <w:rPr>
          <w:rFonts w:hint="eastAsia" w:ascii="宋体" w:hAnsi="宋体"/>
          <w:sz w:val="24"/>
        </w:rPr>
        <w:t>普通高级中学毕业、中等职业学校毕业或具备同等学力。</w:t>
      </w:r>
    </w:p>
    <w:p>
      <w:pPr>
        <w:spacing w:before="156" w:beforeLines="50" w:line="440" w:lineRule="exact"/>
        <w:rPr>
          <w:rFonts w:ascii="宋体" w:hAnsi="宋体"/>
          <w:b/>
          <w:sz w:val="24"/>
        </w:rPr>
      </w:pPr>
      <w:r>
        <w:rPr>
          <w:rFonts w:hint="eastAsia" w:ascii="宋体" w:hAnsi="宋体"/>
          <w:b/>
          <w:sz w:val="24"/>
        </w:rPr>
        <w:t>三、修业年限</w:t>
      </w:r>
    </w:p>
    <w:p>
      <w:pPr>
        <w:suppressAutoHyphens/>
        <w:spacing w:line="440" w:lineRule="exact"/>
        <w:rPr>
          <w:rFonts w:ascii="宋体" w:hAnsi="宋体"/>
          <w:sz w:val="24"/>
        </w:rPr>
      </w:pPr>
      <w:r>
        <w:rPr>
          <w:rFonts w:hint="eastAsia" w:ascii="宋体" w:hAnsi="宋体"/>
          <w:sz w:val="24"/>
        </w:rPr>
        <w:t>学制：三年</w:t>
      </w:r>
    </w:p>
    <w:p>
      <w:pPr>
        <w:suppressAutoHyphens/>
        <w:spacing w:line="440" w:lineRule="exact"/>
        <w:rPr>
          <w:rFonts w:ascii="宋体" w:hAnsi="宋体"/>
          <w:sz w:val="24"/>
        </w:rPr>
      </w:pPr>
      <w:r>
        <w:rPr>
          <w:rFonts w:hint="eastAsia" w:ascii="宋体" w:hAnsi="宋体"/>
          <w:sz w:val="24"/>
        </w:rPr>
        <w:t>学历：普通专科</w:t>
      </w:r>
    </w:p>
    <w:p>
      <w:pPr>
        <w:spacing w:before="156" w:beforeLines="50" w:line="440" w:lineRule="exact"/>
        <w:rPr>
          <w:rFonts w:ascii="宋体" w:hAnsi="宋体"/>
          <w:b/>
          <w:sz w:val="24"/>
        </w:rPr>
      </w:pPr>
      <w:r>
        <w:rPr>
          <w:rFonts w:hint="eastAsia" w:ascii="宋体" w:hAnsi="宋体"/>
          <w:b/>
          <w:sz w:val="24"/>
        </w:rPr>
        <w:t>四、职业面向与就业岗位</w:t>
      </w:r>
    </w:p>
    <w:tbl>
      <w:tblPr>
        <w:tblStyle w:val="11"/>
        <w:tblpPr w:leftFromText="180" w:rightFromText="180" w:vertAnchor="text" w:horzAnchor="margin" w:tblpXSpec="center" w:tblpY="67"/>
        <w:tblW w:w="104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2863"/>
        <w:gridCol w:w="1843"/>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6" w:type="dxa"/>
            <w:vAlign w:val="center"/>
          </w:tcPr>
          <w:p>
            <w:pPr>
              <w:spacing w:line="440" w:lineRule="exact"/>
              <w:rPr>
                <w:rFonts w:ascii="宋体" w:hAnsi="宋体"/>
                <w:sz w:val="18"/>
                <w:szCs w:val="18"/>
              </w:rPr>
            </w:pPr>
            <w:r>
              <w:rPr>
                <w:rFonts w:hint="eastAsia" w:ascii="宋体" w:hAnsi="宋体"/>
                <w:sz w:val="18"/>
                <w:szCs w:val="18"/>
              </w:rPr>
              <w:t>所属专业类</w:t>
            </w:r>
          </w:p>
          <w:p>
            <w:pPr>
              <w:spacing w:line="440" w:lineRule="exact"/>
              <w:rPr>
                <w:rFonts w:ascii="宋体" w:hAnsi="宋体"/>
                <w:sz w:val="18"/>
                <w:szCs w:val="18"/>
              </w:rPr>
            </w:pPr>
            <w:r>
              <w:rPr>
                <w:rFonts w:hint="eastAsia" w:ascii="宋体" w:hAnsi="宋体"/>
                <w:sz w:val="18"/>
                <w:szCs w:val="18"/>
              </w:rPr>
              <w:t>（代码）</w:t>
            </w:r>
          </w:p>
        </w:tc>
        <w:tc>
          <w:tcPr>
            <w:tcW w:w="1276" w:type="dxa"/>
            <w:vAlign w:val="center"/>
          </w:tcPr>
          <w:p>
            <w:pPr>
              <w:spacing w:line="440" w:lineRule="exact"/>
              <w:rPr>
                <w:rFonts w:ascii="宋体" w:hAnsi="宋体"/>
                <w:sz w:val="18"/>
                <w:szCs w:val="18"/>
              </w:rPr>
            </w:pPr>
            <w:r>
              <w:rPr>
                <w:rFonts w:hint="eastAsia" w:ascii="宋体" w:hAnsi="宋体"/>
                <w:sz w:val="18"/>
                <w:szCs w:val="18"/>
              </w:rPr>
              <w:t>对应行业</w:t>
            </w:r>
          </w:p>
          <w:p>
            <w:pPr>
              <w:spacing w:line="440" w:lineRule="exact"/>
              <w:rPr>
                <w:rFonts w:ascii="宋体" w:hAnsi="宋体"/>
                <w:sz w:val="18"/>
                <w:szCs w:val="18"/>
              </w:rPr>
            </w:pPr>
            <w:r>
              <w:rPr>
                <w:rFonts w:hint="eastAsia" w:ascii="宋体" w:hAnsi="宋体"/>
                <w:sz w:val="18"/>
                <w:szCs w:val="18"/>
              </w:rPr>
              <w:t>（代码）</w:t>
            </w:r>
          </w:p>
        </w:tc>
        <w:tc>
          <w:tcPr>
            <w:tcW w:w="2863" w:type="dxa"/>
            <w:vAlign w:val="center"/>
          </w:tcPr>
          <w:p>
            <w:pPr>
              <w:spacing w:line="440" w:lineRule="exact"/>
              <w:rPr>
                <w:rFonts w:ascii="宋体" w:hAnsi="宋体"/>
                <w:sz w:val="18"/>
                <w:szCs w:val="18"/>
              </w:rPr>
            </w:pPr>
            <w:r>
              <w:rPr>
                <w:rFonts w:hint="eastAsia" w:ascii="宋体" w:hAnsi="宋体"/>
                <w:sz w:val="18"/>
                <w:szCs w:val="18"/>
              </w:rPr>
              <w:t>主要职业类别</w:t>
            </w:r>
          </w:p>
          <w:p>
            <w:pPr>
              <w:spacing w:line="440" w:lineRule="exact"/>
              <w:rPr>
                <w:rFonts w:ascii="宋体" w:hAnsi="宋体"/>
                <w:sz w:val="18"/>
                <w:szCs w:val="18"/>
              </w:rPr>
            </w:pPr>
            <w:r>
              <w:rPr>
                <w:rFonts w:hint="eastAsia" w:ascii="宋体" w:hAnsi="宋体"/>
                <w:sz w:val="18"/>
                <w:szCs w:val="18"/>
              </w:rPr>
              <w:t>（代码）</w:t>
            </w:r>
          </w:p>
        </w:tc>
        <w:tc>
          <w:tcPr>
            <w:tcW w:w="1843" w:type="dxa"/>
            <w:vAlign w:val="center"/>
          </w:tcPr>
          <w:p>
            <w:pPr>
              <w:spacing w:line="440" w:lineRule="exact"/>
              <w:rPr>
                <w:rFonts w:ascii="宋体" w:hAnsi="宋体"/>
                <w:sz w:val="18"/>
                <w:szCs w:val="18"/>
              </w:rPr>
            </w:pPr>
            <w:r>
              <w:rPr>
                <w:rFonts w:hint="eastAsia" w:ascii="宋体" w:hAnsi="宋体"/>
                <w:sz w:val="18"/>
                <w:szCs w:val="18"/>
              </w:rPr>
              <w:t>主要岗位类别</w:t>
            </w:r>
          </w:p>
          <w:p>
            <w:pPr>
              <w:spacing w:line="440" w:lineRule="exact"/>
              <w:rPr>
                <w:rFonts w:ascii="宋体" w:hAnsi="宋体"/>
                <w:sz w:val="18"/>
                <w:szCs w:val="18"/>
              </w:rPr>
            </w:pPr>
            <w:r>
              <w:rPr>
                <w:rFonts w:hint="eastAsia" w:ascii="宋体" w:hAnsi="宋体"/>
                <w:sz w:val="18"/>
                <w:szCs w:val="18"/>
              </w:rPr>
              <w:t>或技术领域</w:t>
            </w:r>
          </w:p>
        </w:tc>
        <w:tc>
          <w:tcPr>
            <w:tcW w:w="1843" w:type="dxa"/>
            <w:vAlign w:val="center"/>
          </w:tcPr>
          <w:p>
            <w:pPr>
              <w:spacing w:line="440" w:lineRule="exact"/>
              <w:rPr>
                <w:rFonts w:ascii="宋体" w:hAnsi="宋体"/>
                <w:sz w:val="18"/>
                <w:szCs w:val="18"/>
              </w:rPr>
            </w:pPr>
            <w:r>
              <w:rPr>
                <w:rFonts w:hint="eastAsia" w:ascii="宋体" w:hAnsi="宋体"/>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0" w:hRule="exact"/>
        </w:trPr>
        <w:tc>
          <w:tcPr>
            <w:tcW w:w="1384" w:type="dxa"/>
            <w:vAlign w:val="center"/>
          </w:tcPr>
          <w:p>
            <w:pPr>
              <w:spacing w:line="440" w:lineRule="exact"/>
              <w:rPr>
                <w:rFonts w:ascii="宋体" w:hAnsi="宋体"/>
                <w:sz w:val="18"/>
                <w:szCs w:val="18"/>
              </w:rPr>
            </w:pPr>
            <w:r>
              <w:rPr>
                <w:rFonts w:hint="eastAsia" w:ascii="宋体" w:hAnsi="宋体"/>
                <w:sz w:val="18"/>
                <w:szCs w:val="18"/>
              </w:rPr>
              <w:t>土木建筑大类（44）</w:t>
            </w:r>
          </w:p>
        </w:tc>
        <w:tc>
          <w:tcPr>
            <w:tcW w:w="1276" w:type="dxa"/>
            <w:vAlign w:val="center"/>
          </w:tcPr>
          <w:p>
            <w:pPr>
              <w:spacing w:line="440" w:lineRule="exact"/>
              <w:rPr>
                <w:rFonts w:ascii="宋体" w:hAnsi="宋体"/>
                <w:sz w:val="18"/>
                <w:szCs w:val="18"/>
              </w:rPr>
            </w:pPr>
            <w:r>
              <w:rPr>
                <w:rFonts w:hint="eastAsia" w:ascii="宋体" w:hAnsi="宋体"/>
                <w:sz w:val="18"/>
                <w:szCs w:val="18"/>
              </w:rPr>
              <w:t>房地产类（4407）</w:t>
            </w:r>
          </w:p>
        </w:tc>
        <w:tc>
          <w:tcPr>
            <w:tcW w:w="1276" w:type="dxa"/>
            <w:vAlign w:val="center"/>
          </w:tcPr>
          <w:p>
            <w:pPr>
              <w:spacing w:line="440" w:lineRule="exact"/>
              <w:rPr>
                <w:rFonts w:ascii="宋体" w:hAnsi="宋体"/>
                <w:sz w:val="18"/>
                <w:szCs w:val="18"/>
              </w:rPr>
            </w:pPr>
            <w:r>
              <w:rPr>
                <w:rFonts w:hint="eastAsia" w:ascii="宋体" w:hAnsi="宋体"/>
                <w:sz w:val="18"/>
                <w:szCs w:val="18"/>
              </w:rPr>
              <w:t>房地产业（70）</w:t>
            </w:r>
          </w:p>
        </w:tc>
        <w:tc>
          <w:tcPr>
            <w:tcW w:w="2863" w:type="dxa"/>
            <w:vAlign w:val="center"/>
          </w:tcPr>
          <w:p>
            <w:pPr>
              <w:spacing w:line="440" w:lineRule="exact"/>
              <w:rPr>
                <w:rFonts w:ascii="宋体" w:hAnsi="宋体"/>
                <w:sz w:val="18"/>
                <w:szCs w:val="18"/>
              </w:rPr>
            </w:pPr>
            <w:r>
              <w:rPr>
                <w:rFonts w:hint="eastAsia" w:ascii="宋体" w:hAnsi="宋体"/>
                <w:sz w:val="18"/>
                <w:szCs w:val="18"/>
              </w:rPr>
              <w:t>物业管理员（4-06-01-01）</w:t>
            </w:r>
          </w:p>
          <w:p>
            <w:pPr>
              <w:spacing w:line="440" w:lineRule="exact"/>
              <w:rPr>
                <w:rFonts w:ascii="宋体" w:hAnsi="宋体"/>
                <w:sz w:val="18"/>
                <w:szCs w:val="18"/>
              </w:rPr>
            </w:pPr>
            <w:r>
              <w:rPr>
                <w:rFonts w:hint="eastAsia" w:ascii="宋体" w:hAnsi="宋体"/>
                <w:sz w:val="18"/>
                <w:szCs w:val="18"/>
              </w:rPr>
              <w:t>物业经营管理专业人员（2-06-07-10）</w:t>
            </w:r>
          </w:p>
          <w:p>
            <w:pPr>
              <w:spacing w:line="440" w:lineRule="exact"/>
              <w:rPr>
                <w:rFonts w:ascii="宋体" w:hAnsi="宋体"/>
                <w:sz w:val="18"/>
                <w:szCs w:val="18"/>
              </w:rPr>
            </w:pPr>
            <w:r>
              <w:rPr>
                <w:rFonts w:hint="eastAsia" w:ascii="宋体" w:hAnsi="宋体"/>
                <w:sz w:val="18"/>
                <w:szCs w:val="18"/>
              </w:rPr>
              <w:t>客户服务管理员（4-07-02-03）</w:t>
            </w:r>
          </w:p>
          <w:p>
            <w:pPr>
              <w:spacing w:line="440" w:lineRule="exact"/>
              <w:rPr>
                <w:rFonts w:ascii="宋体" w:hAnsi="宋体"/>
                <w:sz w:val="18"/>
                <w:szCs w:val="18"/>
              </w:rPr>
            </w:pPr>
            <w:r>
              <w:rPr>
                <w:rFonts w:hint="eastAsia" w:ascii="宋体" w:hAnsi="宋体"/>
                <w:sz w:val="18"/>
                <w:szCs w:val="18"/>
              </w:rPr>
              <w:t>管理咨询专业人员2-06-07-08）</w:t>
            </w:r>
          </w:p>
        </w:tc>
        <w:tc>
          <w:tcPr>
            <w:tcW w:w="1843" w:type="dxa"/>
            <w:vAlign w:val="center"/>
          </w:tcPr>
          <w:p>
            <w:pPr>
              <w:spacing w:line="440" w:lineRule="exact"/>
              <w:rPr>
                <w:rFonts w:ascii="宋体" w:hAnsi="宋体"/>
                <w:sz w:val="18"/>
                <w:szCs w:val="18"/>
              </w:rPr>
            </w:pPr>
            <w:r>
              <w:rPr>
                <w:rFonts w:hint="eastAsia" w:ascii="宋体" w:hAnsi="宋体"/>
                <w:sz w:val="18"/>
                <w:szCs w:val="18"/>
              </w:rPr>
              <w:t>物业设施设备主管；</w:t>
            </w:r>
          </w:p>
          <w:p>
            <w:pPr>
              <w:spacing w:line="440" w:lineRule="exact"/>
              <w:rPr>
                <w:rFonts w:ascii="宋体" w:hAnsi="宋体"/>
                <w:sz w:val="18"/>
                <w:szCs w:val="18"/>
              </w:rPr>
            </w:pPr>
            <w:r>
              <w:rPr>
                <w:rFonts w:hint="eastAsia" w:ascii="宋体" w:hAnsi="宋体"/>
                <w:sz w:val="18"/>
                <w:szCs w:val="18"/>
              </w:rPr>
              <w:t>物业客户服务主管；</w:t>
            </w:r>
          </w:p>
          <w:p>
            <w:pPr>
              <w:spacing w:line="440" w:lineRule="exact"/>
              <w:rPr>
                <w:rFonts w:ascii="宋体" w:hAnsi="宋体"/>
                <w:sz w:val="18"/>
                <w:szCs w:val="18"/>
              </w:rPr>
            </w:pPr>
            <w:r>
              <w:rPr>
                <w:rFonts w:hint="eastAsia" w:ascii="宋体" w:hAnsi="宋体"/>
                <w:sz w:val="18"/>
                <w:szCs w:val="18"/>
              </w:rPr>
              <w:t>物业资产经营主管；物业服务咨询员</w:t>
            </w:r>
          </w:p>
        </w:tc>
        <w:tc>
          <w:tcPr>
            <w:tcW w:w="1843" w:type="dxa"/>
            <w:vAlign w:val="center"/>
          </w:tcPr>
          <w:p>
            <w:pPr>
              <w:pStyle w:val="2"/>
              <w:ind w:firstLine="0" w:firstLineChars="0"/>
              <w:rPr>
                <w:rFonts w:ascii="宋体" w:hAnsi="宋体" w:cs="宋体"/>
                <w:sz w:val="18"/>
                <w:szCs w:val="18"/>
              </w:rPr>
            </w:pPr>
            <w:r>
              <w:rPr>
                <w:rFonts w:hint="eastAsia" w:ascii="宋体" w:hAnsi="宋体" w:cs="宋体"/>
                <w:sz w:val="18"/>
                <w:szCs w:val="18"/>
              </w:rPr>
              <w:t>物业管理员资格证书；</w:t>
            </w:r>
          </w:p>
          <w:p>
            <w:pPr>
              <w:pStyle w:val="2"/>
              <w:ind w:firstLine="0" w:firstLineChars="0"/>
              <w:rPr>
                <w:rFonts w:ascii="宋体" w:hAnsi="宋体"/>
                <w:sz w:val="18"/>
                <w:szCs w:val="18"/>
              </w:rPr>
            </w:pPr>
            <w:r>
              <w:rPr>
                <w:rFonts w:hint="eastAsia" w:ascii="宋体" w:hAnsi="宋体" w:cs="宋体"/>
                <w:sz w:val="18"/>
                <w:szCs w:val="18"/>
              </w:rPr>
              <w:t>智能楼宇管理员</w:t>
            </w:r>
          </w:p>
        </w:tc>
      </w:tr>
    </w:tbl>
    <w:p>
      <w:pPr>
        <w:spacing w:before="156"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sz w:val="24"/>
        </w:rPr>
      </w:pPr>
      <w:r>
        <w:rPr>
          <w:rFonts w:hint="eastAsia" w:ascii="宋体" w:hAnsi="宋体"/>
          <w:sz w:val="24"/>
        </w:rPr>
        <w:t>本专业培养理想信念坚定，德、智、体、美、劳全面发展，具有一定的科学文化水平，良好的人文素养、职业道德和创新意识，掌握本专业知识和技术技能，面向房地产业的物业管理员、物业经营管理专业人员、客户服务管理员、管理咨询专业人员职业群(或技术技能领域)，能够从事物业设施设备管理、物业客户服务、物业资产经营和物业服务咨询工作的高素质创新型技术技能人才。</w:t>
      </w:r>
    </w:p>
    <w:p>
      <w:pPr>
        <w:spacing w:line="440" w:lineRule="exact"/>
        <w:ind w:firstLine="480" w:firstLineChars="200"/>
        <w:rPr>
          <w:rFonts w:ascii="宋体" w:hAnsi="宋体"/>
          <w:sz w:val="24"/>
        </w:rPr>
      </w:pPr>
      <w:r>
        <w:rPr>
          <w:rFonts w:hint="eastAsia" w:ascii="宋体" w:hAnsi="宋体"/>
          <w:sz w:val="24"/>
        </w:rPr>
        <w:t>（二）培养规格</w:t>
      </w:r>
    </w:p>
    <w:p>
      <w:pPr>
        <w:spacing w:line="440" w:lineRule="exact"/>
        <w:ind w:firstLine="480" w:firstLineChars="200"/>
        <w:rPr>
          <w:rFonts w:ascii="宋体" w:hAnsi="宋体"/>
          <w:sz w:val="24"/>
        </w:rPr>
      </w:pPr>
      <w:r>
        <w:rPr>
          <w:rFonts w:hint="eastAsia" w:ascii="宋体" w:hAnsi="宋体"/>
          <w:sz w:val="24"/>
        </w:rPr>
        <w:t>本专业毕业生应在素质、知识和能力等方面达到以下要求：</w:t>
      </w:r>
    </w:p>
    <w:p>
      <w:pPr>
        <w:spacing w:line="440" w:lineRule="exact"/>
        <w:ind w:firstLine="480" w:firstLineChars="200"/>
        <w:rPr>
          <w:rFonts w:ascii="宋体" w:hAnsi="宋体"/>
          <w:sz w:val="24"/>
        </w:rPr>
      </w:pPr>
      <w:r>
        <w:rPr>
          <w:rFonts w:hint="eastAsia" w:ascii="宋体" w:hAnsi="宋体"/>
          <w:sz w:val="24"/>
        </w:rPr>
        <w:t>1.素质要求</w:t>
      </w:r>
    </w:p>
    <w:p>
      <w:pPr>
        <w:spacing w:line="440" w:lineRule="exact"/>
        <w:ind w:firstLine="480" w:firstLineChars="200"/>
        <w:rPr>
          <w:rFonts w:ascii="宋体" w:hAnsi="宋体"/>
          <w:sz w:val="24"/>
        </w:rPr>
      </w:pPr>
      <w:r>
        <w:rPr>
          <w:rFonts w:hint="eastAsia" w:ascii="宋体" w:hAnsi="宋体"/>
          <w:sz w:val="24"/>
        </w:rPr>
        <w:t>（1）基本素养</w:t>
      </w:r>
    </w:p>
    <w:p>
      <w:pPr>
        <w:spacing w:line="440" w:lineRule="exact"/>
        <w:ind w:firstLine="480" w:firstLineChars="200"/>
        <w:rPr>
          <w:rFonts w:ascii="宋体" w:hAnsi="宋体"/>
          <w:sz w:val="24"/>
        </w:rPr>
      </w:pPr>
      <w:r>
        <w:rPr>
          <w:rFonts w:cs="Calibri"/>
          <w:sz w:val="24"/>
        </w:rPr>
        <w:sym w:font="Wingdings" w:char="F081"/>
      </w:r>
      <w:r>
        <w:rPr>
          <w:rFonts w:hint="eastAsia" w:cs="Calibri"/>
          <w:sz w:val="24"/>
        </w:rPr>
        <w:t>思想政治素养：</w:t>
      </w:r>
      <w:r>
        <w:rPr>
          <w:rFonts w:hint="eastAsia" w:ascii="宋体" w:hAnsi="宋体"/>
          <w:sz w:val="24"/>
        </w:rPr>
        <w:t>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rPr>
          <w:rFonts w:ascii="宋体" w:hAnsi="宋体"/>
          <w:sz w:val="24"/>
        </w:rPr>
      </w:pPr>
      <w:r>
        <w:rPr>
          <w:rFonts w:cs="Calibri"/>
          <w:sz w:val="24"/>
        </w:rPr>
        <w:sym w:font="Wingdings" w:char="F082"/>
      </w:r>
      <w:r>
        <w:rPr>
          <w:rFonts w:hint="eastAsia" w:cs="Calibri"/>
          <w:sz w:val="24"/>
        </w:rPr>
        <w:t>职业道德素养：</w:t>
      </w:r>
      <w:r>
        <w:rPr>
          <w:rFonts w:hint="eastAsia" w:ascii="宋体" w:hAnsi="宋体"/>
          <w:sz w:val="24"/>
        </w:rPr>
        <w:t>崇尚宪法、遵纪守法、崇德向善、诚实守信、尊重生命、热爱劳动、履行道德准则和行为规范，具有社会责任感和社会参与意识，认同及恪守社会工作价值观及基层物业服务的事业伦理。具有全心全意为人民服务的品质。</w:t>
      </w:r>
    </w:p>
    <w:p>
      <w:pPr>
        <w:pStyle w:val="2"/>
        <w:ind w:firstLine="480" w:firstLineChars="200"/>
      </w:pPr>
      <w:r>
        <w:rPr>
          <w:rFonts w:ascii="Calibri" w:hAnsi="Calibri" w:cs="Calibri"/>
        </w:rPr>
        <w:sym w:font="Wingdings" w:char="F083"/>
      </w:r>
      <w:r>
        <w:rPr>
          <w:rFonts w:hint="eastAsia" w:ascii="宋体" w:hAnsi="宋体"/>
        </w:rPr>
        <w:t>人文素养：具有一定的审美和人文素养，能够形成1-2项艺术特长或爱好。</w:t>
      </w:r>
    </w:p>
    <w:p>
      <w:pPr>
        <w:pStyle w:val="2"/>
        <w:ind w:firstLine="240"/>
      </w:pPr>
      <w:r>
        <w:rPr>
          <w:rFonts w:hint="eastAsia"/>
        </w:rPr>
        <w:t xml:space="preserve">  </w:t>
      </w:r>
      <w:r>
        <w:rPr>
          <w:rFonts w:hint="eastAsia" w:ascii="宋体" w:hAnsi="宋体" w:cs="宋体"/>
        </w:rPr>
        <w:sym w:font="Wingdings" w:char="F084"/>
      </w:r>
      <w:r>
        <w:rPr>
          <w:rFonts w:hint="eastAsia" w:ascii="宋体" w:hAnsi="宋体" w:cs="宋体"/>
        </w:rPr>
        <w:t>身心素养</w:t>
      </w:r>
      <w:r>
        <w:rPr>
          <w:rFonts w:hint="eastAsia"/>
        </w:rPr>
        <w:t>：</w:t>
      </w:r>
      <w:r>
        <w:rPr>
          <w:rFonts w:hint="eastAsia" w:ascii="宋体" w:hAnsi="宋体"/>
        </w:rPr>
        <w:t>具有健康的体魄、心理和健康的人格。能正确的面对困难、压力和挫折，具有积极进取、乐观向上和健康平和的心态。</w:t>
      </w:r>
    </w:p>
    <w:p>
      <w:pPr>
        <w:numPr>
          <w:ilvl w:val="0"/>
          <w:numId w:val="1"/>
        </w:numPr>
        <w:spacing w:line="440" w:lineRule="exact"/>
        <w:ind w:firstLine="480"/>
        <w:rPr>
          <w:rFonts w:ascii="宋体" w:hAnsi="宋体"/>
          <w:sz w:val="24"/>
        </w:rPr>
      </w:pPr>
      <w:r>
        <w:rPr>
          <w:rFonts w:hint="eastAsia" w:ascii="宋体" w:hAnsi="宋体"/>
          <w:sz w:val="24"/>
        </w:rPr>
        <w:t>职业素养</w:t>
      </w:r>
    </w:p>
    <w:p>
      <w:pPr>
        <w:spacing w:line="440" w:lineRule="exact"/>
        <w:ind w:firstLine="480" w:firstLineChars="200"/>
        <w:rPr>
          <w:rFonts w:ascii="宋体" w:hAnsi="宋体" w:cs="Times New Roman"/>
          <w:sz w:val="24"/>
        </w:rPr>
      </w:pPr>
      <w:r>
        <w:rPr>
          <w:rFonts w:cs="Calibri"/>
          <w:sz w:val="24"/>
        </w:rPr>
        <w:sym w:font="Wingdings" w:char="F081"/>
      </w:r>
      <w:r>
        <w:rPr>
          <w:rFonts w:hint="eastAsia" w:ascii="宋体" w:hAnsi="宋体" w:cs="Times New Roman"/>
          <w:sz w:val="24"/>
        </w:rPr>
        <w:t>竞争意识：树立正确的</w:t>
      </w:r>
      <w:r>
        <w:rPr>
          <w:rFonts w:ascii="宋体" w:hAnsi="宋体" w:cs="Times New Roman"/>
          <w:sz w:val="24"/>
        </w:rPr>
        <w:t>竞争意识,敢于面对对手的挑战</w:t>
      </w:r>
      <w:r>
        <w:rPr>
          <w:rFonts w:hint="eastAsia" w:ascii="宋体" w:hAnsi="宋体" w:cs="Times New Roman"/>
          <w:sz w:val="24"/>
        </w:rPr>
        <w:t>，</w:t>
      </w:r>
      <w:r>
        <w:rPr>
          <w:rFonts w:ascii="宋体" w:hAnsi="宋体" w:cs="Times New Roman"/>
          <w:sz w:val="24"/>
        </w:rPr>
        <w:t>敢于竞争、善于竞争</w:t>
      </w:r>
      <w:r>
        <w:rPr>
          <w:rFonts w:hint="eastAsia" w:ascii="宋体" w:hAnsi="宋体" w:cs="Times New Roman"/>
          <w:sz w:val="24"/>
        </w:rPr>
        <w:t>。</w:t>
      </w:r>
    </w:p>
    <w:p>
      <w:pPr>
        <w:spacing w:line="440" w:lineRule="exact"/>
        <w:ind w:firstLine="480" w:firstLineChars="200"/>
        <w:rPr>
          <w:rFonts w:ascii="宋体" w:hAnsi="宋体" w:cs="Times New Roman"/>
          <w:sz w:val="24"/>
        </w:rPr>
      </w:pPr>
      <w:r>
        <w:rPr>
          <w:rFonts w:cs="Calibri"/>
          <w:sz w:val="24"/>
        </w:rPr>
        <w:sym w:font="Wingdings" w:char="F082"/>
      </w:r>
      <w:r>
        <w:rPr>
          <w:rFonts w:hint="eastAsia" w:ascii="宋体" w:hAnsi="宋体" w:cs="Times New Roman"/>
          <w:sz w:val="24"/>
        </w:rPr>
        <w:t>写作能力: 根据学生</w:t>
      </w:r>
      <w:r>
        <w:rPr>
          <w:rFonts w:ascii="宋体" w:hAnsi="宋体" w:cs="Times New Roman"/>
          <w:sz w:val="24"/>
        </w:rPr>
        <w:t>自身需求和现实岗位的需要,</w:t>
      </w:r>
      <w:r>
        <w:rPr>
          <w:rFonts w:hint="eastAsia" w:ascii="宋体" w:hAnsi="宋体" w:cs="Times New Roman"/>
          <w:sz w:val="24"/>
        </w:rPr>
        <w:t>培养</w:t>
      </w:r>
      <w:r>
        <w:rPr>
          <w:rFonts w:ascii="宋体" w:hAnsi="宋体" w:cs="Times New Roman"/>
          <w:sz w:val="24"/>
        </w:rPr>
        <w:t>学生各类文书</w:t>
      </w:r>
      <w:r>
        <w:rPr>
          <w:rFonts w:hint="eastAsia" w:ascii="宋体" w:hAnsi="宋体" w:cs="Times New Roman"/>
          <w:sz w:val="24"/>
        </w:rPr>
        <w:t>的</w:t>
      </w:r>
      <w:r>
        <w:rPr>
          <w:rFonts w:ascii="宋体" w:hAnsi="宋体" w:cs="Times New Roman"/>
          <w:sz w:val="24"/>
        </w:rPr>
        <w:t>写作</w:t>
      </w:r>
      <w:r>
        <w:rPr>
          <w:rFonts w:hint="eastAsia" w:ascii="宋体" w:hAnsi="宋体" w:cs="Times New Roman"/>
          <w:sz w:val="24"/>
        </w:rPr>
        <w:t>能力与水平</w:t>
      </w:r>
      <w:r>
        <w:rPr>
          <w:rFonts w:ascii="宋体" w:hAnsi="宋体" w:cs="Times New Roman"/>
          <w:sz w:val="24"/>
        </w:rPr>
        <w:t>，例如通知报告、计划总结、会议纪要、规章制度、申请书、合同协议等等。</w:t>
      </w:r>
    </w:p>
    <w:p>
      <w:pPr>
        <w:spacing w:line="440" w:lineRule="exact"/>
        <w:ind w:firstLine="480" w:firstLineChars="200"/>
        <w:rPr>
          <w:rFonts w:ascii="宋体" w:hAnsi="宋体" w:cs="Times New Roman"/>
          <w:sz w:val="24"/>
        </w:rPr>
      </w:pPr>
      <w:r>
        <w:rPr>
          <w:rFonts w:cs="Calibri"/>
          <w:sz w:val="24"/>
        </w:rPr>
        <w:sym w:font="Wingdings" w:char="F083"/>
      </w:r>
      <w:r>
        <w:rPr>
          <w:rFonts w:hint="eastAsia" w:ascii="宋体" w:hAnsi="宋体" w:cs="Times New Roman"/>
          <w:sz w:val="24"/>
        </w:rPr>
        <w:t>探索改革精神: 具有自我约束、自我思考的独立意识，培养创新精神与实践能力。　</w:t>
      </w:r>
    </w:p>
    <w:p>
      <w:pPr>
        <w:spacing w:line="440" w:lineRule="exact"/>
        <w:ind w:firstLine="480" w:firstLineChars="200"/>
        <w:rPr>
          <w:rFonts w:ascii="宋体" w:hAnsi="宋体"/>
          <w:sz w:val="24"/>
        </w:rPr>
      </w:pPr>
      <w:r>
        <w:rPr>
          <w:rFonts w:hint="eastAsia" w:ascii="宋体" w:hAnsi="宋体"/>
          <w:sz w:val="24"/>
        </w:rPr>
        <w:sym w:font="Wingdings" w:char="F084"/>
      </w:r>
      <w:r>
        <w:rPr>
          <w:rFonts w:hint="eastAsia" w:ascii="宋体" w:hAnsi="宋体" w:cs="Times New Roman"/>
          <w:sz w:val="24"/>
        </w:rPr>
        <w:t xml:space="preserve">职业道德精神: </w:t>
      </w:r>
      <w:r>
        <w:rPr>
          <w:rFonts w:ascii="宋体" w:hAnsi="宋体" w:cs="Times New Roman"/>
          <w:sz w:val="24"/>
        </w:rPr>
        <w:t>具有诚实守信、爱岗敬业的职业道德</w:t>
      </w:r>
      <w:r>
        <w:rPr>
          <w:rFonts w:hint="eastAsia" w:ascii="宋体" w:hAnsi="宋体" w:cs="Times New Roman"/>
          <w:sz w:val="24"/>
        </w:rPr>
        <w:t>；具有亲和友善、团结互助的合作精神；具有实事求是、科学严谨的工作作风；具有言行一致、勇于负责的责任心。</w:t>
      </w:r>
    </w:p>
    <w:p>
      <w:pPr>
        <w:numPr>
          <w:ilvl w:val="0"/>
          <w:numId w:val="2"/>
        </w:numPr>
        <w:spacing w:line="440" w:lineRule="exact"/>
        <w:ind w:firstLine="480" w:firstLineChars="200"/>
        <w:rPr>
          <w:rFonts w:ascii="宋体" w:hAnsi="宋体"/>
          <w:sz w:val="24"/>
        </w:rPr>
      </w:pPr>
      <w:r>
        <w:rPr>
          <w:rFonts w:hint="eastAsia" w:ascii="宋体" w:hAnsi="宋体"/>
          <w:sz w:val="24"/>
        </w:rPr>
        <w:t>知识要求</w:t>
      </w:r>
    </w:p>
    <w:p>
      <w:pPr>
        <w:pStyle w:val="2"/>
        <w:ind w:firstLine="0" w:firstLineChars="0"/>
      </w:pPr>
      <w:r>
        <w:rPr>
          <w:rFonts w:hint="eastAsia"/>
        </w:rPr>
        <w:t xml:space="preserve">    （1）公共基础知识</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掌握必备的思想政治理论、科学文化基础知识和中华优秀传统文化知识。</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掌握一定的计算机应用、网络技术、办公自动化等信息技术知识。</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掌握一定的外语知识。</w:t>
      </w:r>
    </w:p>
    <w:p>
      <w:pPr>
        <w:spacing w:line="440" w:lineRule="exact"/>
        <w:ind w:left="420" w:leftChars="200"/>
        <w:rPr>
          <w:rFonts w:ascii="宋体" w:hAnsi="宋体"/>
          <w:sz w:val="24"/>
        </w:rPr>
      </w:pPr>
      <w:r>
        <w:rPr>
          <w:rFonts w:hint="eastAsia" w:ascii="宋体" w:hAnsi="宋体"/>
          <w:sz w:val="24"/>
        </w:rPr>
        <w:t>（2）专业知识</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掌握一定的财会、统计、市场调研与预测等经济知识。</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掌握一定的管理、系统优化等管理知识。</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掌握一定的市场营销、客户往来等商务知识。</w:t>
      </w:r>
    </w:p>
    <w:p>
      <w:pPr>
        <w:spacing w:line="440" w:lineRule="exact"/>
        <w:ind w:firstLine="480" w:firstLineChars="200"/>
        <w:rPr>
          <w:rFonts w:ascii="宋体" w:hAnsi="宋体"/>
          <w:sz w:val="24"/>
        </w:rPr>
      </w:pPr>
      <w:r>
        <w:rPr>
          <w:rFonts w:hint="eastAsia" w:ascii="宋体" w:hAnsi="宋体"/>
          <w:sz w:val="24"/>
        </w:rPr>
        <w:sym w:font="Wingdings" w:char="F084"/>
      </w:r>
      <w:r>
        <w:rPr>
          <w:rFonts w:hint="eastAsia" w:ascii="宋体" w:hAnsi="宋体"/>
          <w:sz w:val="24"/>
        </w:rPr>
        <w:t>掌握系统的现代物业基础理论知识。</w:t>
      </w:r>
    </w:p>
    <w:p>
      <w:pPr>
        <w:spacing w:line="440" w:lineRule="exact"/>
        <w:ind w:firstLine="480" w:firstLineChars="200"/>
        <w:rPr>
          <w:rFonts w:ascii="宋体" w:hAnsi="宋体"/>
          <w:sz w:val="24"/>
        </w:rPr>
      </w:pPr>
      <w:r>
        <w:rPr>
          <w:rFonts w:hint="eastAsia" w:cs="Calibri"/>
          <w:sz w:val="24"/>
        </w:rPr>
        <w:sym w:font="Wingdings" w:char="F085"/>
      </w:r>
      <w:r>
        <w:rPr>
          <w:rFonts w:hint="eastAsia" w:ascii="宋体" w:hAnsi="宋体"/>
          <w:sz w:val="24"/>
        </w:rPr>
        <w:t>掌握具体的服务维修管理、设备维修管理、保洁管理、安全保卫等专业运作知识和管理知识。</w:t>
      </w:r>
    </w:p>
    <w:p>
      <w:pPr>
        <w:spacing w:line="440" w:lineRule="exact"/>
        <w:ind w:firstLine="480" w:firstLineChars="200"/>
        <w:rPr>
          <w:rFonts w:ascii="宋体" w:hAnsi="宋体"/>
          <w:sz w:val="24"/>
        </w:rPr>
      </w:pPr>
      <w:r>
        <w:rPr>
          <w:rFonts w:hint="eastAsia" w:cs="Calibri"/>
          <w:sz w:val="24"/>
        </w:rPr>
        <w:sym w:font="Wingdings" w:char="F086"/>
      </w:r>
      <w:r>
        <w:rPr>
          <w:rFonts w:hint="eastAsia" w:ascii="宋体" w:hAnsi="宋体"/>
          <w:sz w:val="24"/>
        </w:rPr>
        <w:t>掌握具体的物业设施设备及物业信息技术相关知识。</w:t>
      </w:r>
    </w:p>
    <w:p>
      <w:pPr>
        <w:pStyle w:val="2"/>
        <w:numPr>
          <w:ilvl w:val="0"/>
          <w:numId w:val="1"/>
        </w:numPr>
        <w:ind w:firstLine="480" w:firstLineChars="0"/>
        <w:rPr>
          <w:rFonts w:ascii="宋体" w:hAnsi="宋体"/>
        </w:rPr>
      </w:pPr>
      <w:r>
        <w:rPr>
          <w:rFonts w:hint="eastAsia" w:ascii="宋体" w:hAnsi="宋体"/>
        </w:rPr>
        <w:t>专业拓展知识</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掌握一定的物业经营管理知识。</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掌握一定的智能楼宇管理等相关知识。</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掌握一定的现代企业管理和国家宏观政策法规等相关知识.</w:t>
      </w:r>
    </w:p>
    <w:p>
      <w:pPr>
        <w:spacing w:line="440" w:lineRule="exact"/>
        <w:ind w:firstLine="480" w:firstLineChars="200"/>
        <w:rPr>
          <w:rFonts w:ascii="宋体" w:hAnsi="宋体"/>
          <w:sz w:val="24"/>
        </w:rPr>
      </w:pPr>
      <w:r>
        <w:rPr>
          <w:rFonts w:hint="eastAsia" w:ascii="宋体" w:hAnsi="宋体"/>
          <w:sz w:val="24"/>
        </w:rPr>
        <w:t>3.能力要求</w:t>
      </w:r>
    </w:p>
    <w:p>
      <w:pPr>
        <w:spacing w:line="440" w:lineRule="exact"/>
        <w:ind w:firstLine="480" w:firstLineChars="200"/>
        <w:rPr>
          <w:rFonts w:ascii="宋体" w:hAnsi="宋体"/>
          <w:sz w:val="24"/>
        </w:rPr>
      </w:pPr>
      <w:r>
        <w:rPr>
          <w:rFonts w:hint="eastAsia" w:ascii="宋体" w:hAnsi="宋体"/>
          <w:sz w:val="24"/>
        </w:rPr>
        <w:t>（1）职业方法能力</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自我学习能力</w:t>
      </w:r>
    </w:p>
    <w:p>
      <w:pPr>
        <w:spacing w:line="440" w:lineRule="exact"/>
        <w:ind w:firstLine="480" w:firstLineChars="200"/>
        <w:rPr>
          <w:rFonts w:ascii="宋体" w:hAnsi="宋体"/>
          <w:sz w:val="24"/>
        </w:rPr>
      </w:pPr>
      <w:r>
        <w:rPr>
          <w:rFonts w:hint="eastAsia" w:ascii="宋体" w:hAnsi="宋体"/>
          <w:sz w:val="24"/>
        </w:rPr>
        <w:t>具有良好的学习习惯、一定的抽象思维能力、较强的形象思维能力和逻辑思维能力,能够快速查阅专业的相关资料和文献，自学专业领域的一些前沿知识和技能。</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信息处理能力</w:t>
      </w:r>
    </w:p>
    <w:p>
      <w:pPr>
        <w:spacing w:line="440" w:lineRule="exact"/>
        <w:ind w:firstLine="480" w:firstLineChars="200"/>
        <w:rPr>
          <w:rFonts w:ascii="宋体" w:hAnsi="宋体"/>
          <w:sz w:val="24"/>
        </w:rPr>
      </w:pPr>
      <w:r>
        <w:rPr>
          <w:rFonts w:hint="eastAsia" w:ascii="宋体" w:hAnsi="宋体"/>
          <w:sz w:val="24"/>
        </w:rPr>
        <w:t>能根据专业领域的需要，运用多种媒介、多种方式采集、提炼、加工、整理信息,并对专业问题进行分析、预测和评价。</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实践动手能力</w:t>
      </w:r>
    </w:p>
    <w:p>
      <w:pPr>
        <w:spacing w:line="440" w:lineRule="exact"/>
        <w:ind w:firstLine="480" w:firstLineChars="200"/>
        <w:rPr>
          <w:rFonts w:ascii="宋体" w:hAnsi="宋体"/>
          <w:sz w:val="24"/>
        </w:rPr>
      </w:pPr>
      <w:r>
        <w:rPr>
          <w:rFonts w:hint="eastAsia" w:ascii="宋体" w:hAnsi="宋体"/>
          <w:sz w:val="24"/>
        </w:rPr>
        <w:t>能综合运用所学专业知识，及时、正确地处理职业岗位工作中存在的各种问题。</w:t>
      </w:r>
    </w:p>
    <w:p>
      <w:pPr>
        <w:spacing w:line="440" w:lineRule="exact"/>
        <w:ind w:firstLine="480" w:firstLineChars="200"/>
        <w:rPr>
          <w:rFonts w:ascii="宋体" w:hAnsi="宋体"/>
          <w:sz w:val="24"/>
        </w:rPr>
      </w:pPr>
      <w:r>
        <w:rPr>
          <w:rFonts w:hint="eastAsia" w:ascii="宋体" w:hAnsi="宋体"/>
          <w:sz w:val="24"/>
        </w:rPr>
        <w:t>2．职业社会能力</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沟通交流能力</w:t>
      </w:r>
    </w:p>
    <w:p>
      <w:pPr>
        <w:spacing w:line="440" w:lineRule="exact"/>
        <w:ind w:firstLine="480" w:firstLineChars="200"/>
        <w:rPr>
          <w:rFonts w:ascii="宋体" w:hAnsi="宋体"/>
          <w:sz w:val="24"/>
        </w:rPr>
      </w:pPr>
      <w:r>
        <w:rPr>
          <w:rFonts w:hint="eastAsia" w:ascii="宋体" w:hAnsi="宋体"/>
          <w:sz w:val="24"/>
        </w:rPr>
        <w:t>具有良好的心态和换位思考的宽广胸怀，尊重他人，以诚待人，能够敏锐发现共同的话题和兴趣，运用巧妙的方式和对方沟通.</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团队合作能力</w:t>
      </w:r>
    </w:p>
    <w:p>
      <w:pPr>
        <w:spacing w:line="440" w:lineRule="exact"/>
        <w:ind w:firstLine="480" w:firstLineChars="200"/>
        <w:rPr>
          <w:rFonts w:ascii="宋体" w:hAnsi="宋体"/>
          <w:sz w:val="24"/>
        </w:rPr>
      </w:pPr>
      <w:r>
        <w:rPr>
          <w:rFonts w:hint="eastAsia" w:ascii="宋体" w:hAnsi="宋体"/>
          <w:sz w:val="24"/>
        </w:rPr>
        <w:t>牢固树立团队利益高于个人利益的观点，尊重并理解他人的观点与处境,能评价和约束自己的行为,能综合地运用各种交流和沟通的方法进行合作。</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 xml:space="preserve">解决问题能力 </w:t>
      </w:r>
    </w:p>
    <w:p>
      <w:pPr>
        <w:spacing w:line="440" w:lineRule="exact"/>
        <w:ind w:firstLine="480" w:firstLineChars="200"/>
        <w:rPr>
          <w:rFonts w:ascii="宋体" w:hAnsi="宋体"/>
          <w:sz w:val="24"/>
        </w:rPr>
      </w:pPr>
      <w:r>
        <w:rPr>
          <w:rFonts w:hint="eastAsia" w:ascii="宋体" w:hAnsi="宋体"/>
          <w:sz w:val="24"/>
        </w:rPr>
        <w:t>具有发现问题、提出问题并运用所学的综合知识去努力思考、积极探索,并且创造性地解决问题的能力。</w:t>
      </w:r>
    </w:p>
    <w:p>
      <w:pPr>
        <w:spacing w:line="440" w:lineRule="exact"/>
        <w:ind w:firstLine="480" w:firstLineChars="200"/>
        <w:rPr>
          <w:rFonts w:ascii="宋体" w:hAnsi="宋体"/>
          <w:sz w:val="24"/>
        </w:rPr>
      </w:pPr>
      <w:r>
        <w:rPr>
          <w:rFonts w:hint="eastAsia" w:ascii="宋体" w:hAnsi="宋体"/>
          <w:sz w:val="24"/>
        </w:rPr>
        <w:t>④革新创新能力</w:t>
      </w:r>
    </w:p>
    <w:p>
      <w:pPr>
        <w:spacing w:line="440" w:lineRule="exact"/>
        <w:ind w:firstLine="480" w:firstLineChars="200"/>
        <w:rPr>
          <w:rFonts w:ascii="宋体" w:hAnsi="宋体"/>
          <w:sz w:val="24"/>
        </w:rPr>
      </w:pPr>
      <w:r>
        <w:rPr>
          <w:rFonts w:hint="eastAsia" w:ascii="宋体" w:hAnsi="宋体"/>
          <w:sz w:val="24"/>
        </w:rPr>
        <w:t>具有创新精神、自主创业能力和可持续发展能力。</w:t>
      </w:r>
    </w:p>
    <w:p>
      <w:pPr>
        <w:spacing w:line="440" w:lineRule="exact"/>
        <w:ind w:firstLine="480" w:firstLineChars="200"/>
        <w:rPr>
          <w:rFonts w:ascii="宋体" w:hAnsi="宋体"/>
          <w:sz w:val="24"/>
        </w:rPr>
      </w:pPr>
      <w:r>
        <w:rPr>
          <w:rFonts w:hint="eastAsia" w:ascii="宋体" w:hAnsi="宋体"/>
          <w:sz w:val="24"/>
        </w:rPr>
        <w:t>⑤外语应用能力</w:t>
      </w:r>
    </w:p>
    <w:p>
      <w:pPr>
        <w:spacing w:line="440" w:lineRule="exact"/>
        <w:ind w:firstLine="480" w:firstLineChars="200"/>
        <w:rPr>
          <w:rFonts w:ascii="宋体" w:hAnsi="宋体"/>
          <w:sz w:val="24"/>
        </w:rPr>
      </w:pPr>
      <w:r>
        <w:rPr>
          <w:rFonts w:hint="eastAsia" w:ascii="宋体" w:hAnsi="宋体"/>
          <w:sz w:val="24"/>
        </w:rPr>
        <w:t>能够利用相关工具,运用所学知识阅读本专业相关英文资料,能规范书写英文简历、单证、表格等应用文，能够进行简单的英语交流。</w:t>
      </w:r>
    </w:p>
    <w:p>
      <w:pPr>
        <w:spacing w:line="440" w:lineRule="exact"/>
        <w:ind w:firstLine="480" w:firstLineChars="200"/>
        <w:rPr>
          <w:rFonts w:ascii="宋体" w:hAnsi="宋体"/>
          <w:sz w:val="24"/>
        </w:rPr>
      </w:pPr>
      <w:r>
        <w:rPr>
          <w:rFonts w:hint="eastAsia" w:ascii="宋体" w:hAnsi="宋体"/>
          <w:sz w:val="24"/>
        </w:rPr>
        <w:t>⑥适应能力</w:t>
      </w:r>
    </w:p>
    <w:p>
      <w:pPr>
        <w:spacing w:line="440" w:lineRule="exact"/>
        <w:ind w:firstLine="480" w:firstLineChars="200"/>
        <w:rPr>
          <w:rFonts w:ascii="宋体" w:hAnsi="宋体"/>
          <w:sz w:val="24"/>
        </w:rPr>
      </w:pPr>
      <w:r>
        <w:rPr>
          <w:rFonts w:hint="eastAsia" w:ascii="宋体" w:hAnsi="宋体"/>
          <w:sz w:val="24"/>
        </w:rPr>
        <w:t>对外部条件、环境的变化表现出较强的社会适应能力。</w:t>
      </w:r>
    </w:p>
    <w:p>
      <w:pPr>
        <w:spacing w:line="440" w:lineRule="exact"/>
        <w:ind w:firstLine="480" w:firstLineChars="200"/>
        <w:rPr>
          <w:rFonts w:ascii="宋体" w:hAnsi="宋体"/>
          <w:sz w:val="24"/>
        </w:rPr>
      </w:pPr>
      <w:r>
        <w:rPr>
          <w:rFonts w:hint="eastAsia" w:ascii="宋体" w:hAnsi="宋体"/>
          <w:sz w:val="24"/>
        </w:rPr>
        <w:t>３. 职业核心能力</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能够熟练操作两种以上不同的物业作业设备，如割草机、清洁机等。</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能够熟练使用常见的物业智能化信息技术设备。</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能够很快适应并熟悉各类物物业管理信息系统的结构、功能、流程和操作要领，如业主信息输入管理系统、设备设施管理系统等。</w:t>
      </w:r>
    </w:p>
    <w:p>
      <w:pPr>
        <w:spacing w:line="440" w:lineRule="exact"/>
        <w:ind w:firstLine="480" w:firstLineChars="200"/>
        <w:rPr>
          <w:rFonts w:ascii="宋体" w:hAnsi="宋体"/>
          <w:sz w:val="24"/>
        </w:rPr>
      </w:pPr>
      <w:r>
        <w:rPr>
          <w:rFonts w:hint="eastAsia" w:ascii="宋体" w:hAnsi="宋体"/>
          <w:sz w:val="24"/>
        </w:rPr>
        <w:sym w:font="Wingdings" w:char="F084"/>
      </w:r>
      <w:r>
        <w:rPr>
          <w:rFonts w:hint="eastAsia" w:ascii="宋体" w:hAnsi="宋体"/>
          <w:sz w:val="24"/>
        </w:rPr>
        <w:t>能够较快地独立承担物业作业流程中的某些阶段性或节点工作任务，如接管查验、业主入伙、业主大会的召开等。</w:t>
      </w:r>
    </w:p>
    <w:p>
      <w:pPr>
        <w:spacing w:line="440" w:lineRule="exact"/>
        <w:ind w:firstLine="480" w:firstLineChars="200"/>
        <w:rPr>
          <w:rFonts w:ascii="宋体" w:hAnsi="宋体"/>
          <w:sz w:val="24"/>
        </w:rPr>
      </w:pPr>
      <w:r>
        <w:rPr>
          <w:rFonts w:hint="eastAsia" w:ascii="宋体" w:hAnsi="宋体"/>
          <w:sz w:val="24"/>
        </w:rPr>
        <w:sym w:font="Wingdings" w:char="F085"/>
      </w:r>
      <w:r>
        <w:rPr>
          <w:rFonts w:hint="eastAsia" w:ascii="宋体" w:hAnsi="宋体"/>
          <w:sz w:val="24"/>
        </w:rPr>
        <w:t>能够逐步承担物业市场调研、物业谈判、作业组织、物业管理方案设计等基础管理工作。</w:t>
      </w:r>
    </w:p>
    <w:p>
      <w:pPr>
        <w:spacing w:line="440" w:lineRule="exact"/>
        <w:ind w:firstLine="480" w:firstLineChars="200"/>
        <w:rPr>
          <w:rFonts w:ascii="宋体" w:hAnsi="宋体"/>
          <w:sz w:val="24"/>
        </w:rPr>
      </w:pPr>
      <w:r>
        <w:rPr>
          <w:rFonts w:hint="eastAsia" w:ascii="宋体" w:hAnsi="宋体"/>
          <w:sz w:val="24"/>
        </w:rPr>
        <w:t>4.职业拓展能力</w:t>
      </w:r>
    </w:p>
    <w:p>
      <w:pPr>
        <w:spacing w:line="440" w:lineRule="exact"/>
        <w:ind w:firstLine="480" w:firstLineChars="200"/>
        <w:rPr>
          <w:rFonts w:ascii="宋体" w:hAnsi="宋体"/>
          <w:sz w:val="24"/>
        </w:rPr>
      </w:pPr>
      <w:r>
        <w:rPr>
          <w:rFonts w:cs="Calibri"/>
          <w:sz w:val="24"/>
        </w:rPr>
        <w:sym w:font="Wingdings" w:char="F081"/>
      </w:r>
      <w:r>
        <w:rPr>
          <w:rFonts w:hint="eastAsia" w:ascii="宋体" w:hAnsi="宋体"/>
          <w:sz w:val="24"/>
        </w:rPr>
        <w:t>能够初步具备参与进行物业管理方案设计、系统优化和流程再造等全局性、宏观性工作的基本能力。</w:t>
      </w:r>
    </w:p>
    <w:p>
      <w:pPr>
        <w:spacing w:line="440" w:lineRule="exact"/>
        <w:ind w:firstLine="480" w:firstLineChars="200"/>
        <w:rPr>
          <w:rFonts w:ascii="宋体" w:hAnsi="宋体"/>
          <w:sz w:val="24"/>
        </w:rPr>
      </w:pPr>
      <w:r>
        <w:rPr>
          <w:rFonts w:cs="Calibri"/>
          <w:sz w:val="24"/>
        </w:rPr>
        <w:sym w:font="Wingdings" w:char="F082"/>
      </w:r>
      <w:r>
        <w:rPr>
          <w:rFonts w:hint="eastAsia" w:ascii="宋体" w:hAnsi="宋体"/>
          <w:sz w:val="24"/>
        </w:rPr>
        <w:t>能够初步具备参与进行物业管理招投标等领域相关工作的基本能力。</w:t>
      </w:r>
    </w:p>
    <w:p>
      <w:pPr>
        <w:spacing w:line="440" w:lineRule="exact"/>
        <w:ind w:firstLine="480" w:firstLineChars="200"/>
        <w:rPr>
          <w:rFonts w:ascii="宋体" w:hAnsi="宋体"/>
          <w:sz w:val="24"/>
        </w:rPr>
      </w:pPr>
      <w:r>
        <w:rPr>
          <w:rFonts w:cs="Calibri"/>
          <w:sz w:val="24"/>
        </w:rPr>
        <w:sym w:font="Wingdings" w:char="F083"/>
      </w:r>
      <w:r>
        <w:rPr>
          <w:rFonts w:hint="eastAsia" w:ascii="宋体" w:hAnsi="宋体"/>
          <w:sz w:val="24"/>
        </w:rPr>
        <w:t>能够初步具备参与物业企业内部制度的制定等相关工作的基本能力。</w:t>
      </w:r>
    </w:p>
    <w:p>
      <w:pPr>
        <w:spacing w:line="440" w:lineRule="exact"/>
        <w:ind w:firstLine="480" w:firstLineChars="200"/>
      </w:pPr>
      <w:r>
        <w:rPr>
          <w:rFonts w:hint="eastAsia" w:ascii="宋体" w:hAnsi="宋体"/>
          <w:sz w:val="24"/>
        </w:rPr>
        <w:sym w:font="Wingdings" w:char="F084"/>
      </w:r>
      <w:r>
        <w:rPr>
          <w:rFonts w:hint="eastAsia" w:ascii="宋体" w:hAnsi="宋体"/>
          <w:sz w:val="24"/>
        </w:rPr>
        <w:t>能够初步具备参与物业管理早期介入管理工作的基本能力。</w:t>
      </w:r>
    </w:p>
    <w:p>
      <w:pPr>
        <w:spacing w:before="156" w:beforeLines="50" w:line="440" w:lineRule="exact"/>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sz w:val="24"/>
        </w:rPr>
      </w:pPr>
      <w:r>
        <w:rPr>
          <w:rFonts w:hint="eastAsia" w:ascii="宋体" w:hAnsi="宋体"/>
          <w:sz w:val="24"/>
        </w:rPr>
        <w:t>（一）公共基础课程</w:t>
      </w:r>
    </w:p>
    <w:p>
      <w:pPr>
        <w:spacing w:line="440" w:lineRule="exact"/>
        <w:ind w:firstLine="480" w:firstLineChars="200"/>
        <w:rPr>
          <w:rFonts w:ascii="宋体" w:hAnsi="宋体"/>
          <w:sz w:val="24"/>
        </w:rPr>
      </w:pPr>
      <w:r>
        <w:rPr>
          <w:rFonts w:hint="eastAsia" w:ascii="宋体" w:hAnsi="宋体"/>
          <w:sz w:val="24"/>
        </w:rPr>
        <w:t>共15门，33学分。主要课程有：思想政治理论课（包括：思想道德修养与法律基础、毛泽东思想和中国特色社会主义理论体系概论、形式与政策）、军事理论与军事训练、大学生心理健康，大学体育、劳动课、大学生职业发展与就业指导、大学生创新创业基础、高职</w:t>
      </w:r>
      <w:r>
        <w:rPr>
          <w:rFonts w:ascii="宋体" w:hAnsi="宋体"/>
          <w:sz w:val="24"/>
        </w:rPr>
        <w:t>英语</w:t>
      </w:r>
      <w:r>
        <w:rPr>
          <w:rFonts w:hint="eastAsia" w:ascii="宋体" w:hAnsi="宋体"/>
          <w:sz w:val="24"/>
        </w:rPr>
        <w:t>(物业英语)、信息技术、大学语文</w:t>
      </w:r>
      <w:r>
        <w:rPr>
          <w:rFonts w:ascii="宋体" w:hAnsi="宋体"/>
          <w:sz w:val="24"/>
        </w:rPr>
        <w:t>（</w:t>
      </w:r>
      <w:r>
        <w:rPr>
          <w:rFonts w:hint="eastAsia" w:ascii="宋体" w:hAnsi="宋体"/>
          <w:sz w:val="24"/>
        </w:rPr>
        <w:t>财经应用文写作）。</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40" w:lineRule="exact"/>
        <w:ind w:firstLine="480" w:firstLineChars="200"/>
        <w:rPr>
          <w:rFonts w:ascii="宋体" w:hAnsi="宋体"/>
          <w:sz w:val="24"/>
        </w:rPr>
      </w:pPr>
      <w:r>
        <w:rPr>
          <w:rFonts w:hint="eastAsia" w:ascii="宋体" w:hAnsi="宋体"/>
          <w:sz w:val="24"/>
        </w:rPr>
        <w:t>1．思想道德与法治</w:t>
      </w:r>
    </w:p>
    <w:p>
      <w:pPr>
        <w:spacing w:line="440" w:lineRule="exact"/>
        <w:ind w:firstLine="480" w:firstLineChars="200"/>
        <w:rPr>
          <w:rFonts w:ascii="宋体" w:hAnsi="宋体"/>
          <w:sz w:val="24"/>
        </w:rPr>
      </w:pPr>
      <w:r>
        <w:rPr>
          <w:rFonts w:hint="eastAsia" w:ascii="宋体" w:hAnsi="宋体"/>
          <w:sz w:val="24"/>
        </w:rPr>
        <w:t>第一学期开设，3学分，共54学时，其中理论46学时，实践8学时。</w:t>
      </w:r>
    </w:p>
    <w:p>
      <w:pPr>
        <w:spacing w:line="440" w:lineRule="exact"/>
        <w:ind w:firstLine="480" w:firstLineChars="200"/>
        <w:rPr>
          <w:rFonts w:ascii="宋体" w:hAnsi="宋体"/>
          <w:sz w:val="24"/>
        </w:rPr>
      </w:pPr>
      <w:r>
        <w:rPr>
          <w:rFonts w:hint="eastAsia" w:ascii="宋体" w:hAnsi="宋体"/>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40" w:lineRule="exact"/>
        <w:ind w:firstLine="480" w:firstLineChars="200"/>
        <w:rPr>
          <w:rFonts w:ascii="宋体" w:hAnsi="宋体"/>
          <w:sz w:val="24"/>
        </w:rPr>
      </w:pPr>
      <w:r>
        <w:rPr>
          <w:rFonts w:hint="eastAsia" w:ascii="宋体" w:hAnsi="宋体"/>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40" w:lineRule="exact"/>
        <w:ind w:firstLine="480" w:firstLineChars="200"/>
        <w:rPr>
          <w:rFonts w:ascii="宋体" w:hAnsi="宋体"/>
          <w:sz w:val="24"/>
        </w:rPr>
      </w:pPr>
      <w:r>
        <w:rPr>
          <w:rFonts w:hint="eastAsia" w:ascii="宋体" w:hAnsi="宋体"/>
          <w:sz w:val="24"/>
        </w:rPr>
        <w:t>2．毛泽东思想和中国特色社会主义理论体系概论</w:t>
      </w:r>
    </w:p>
    <w:p>
      <w:pPr>
        <w:spacing w:line="440" w:lineRule="exact"/>
        <w:ind w:firstLine="480" w:firstLineChars="200"/>
        <w:rPr>
          <w:rFonts w:ascii="宋体" w:hAnsi="宋体"/>
          <w:sz w:val="24"/>
        </w:rPr>
      </w:pPr>
      <w:r>
        <w:rPr>
          <w:rFonts w:hint="eastAsia" w:ascii="宋体" w:hAnsi="宋体"/>
          <w:sz w:val="24"/>
        </w:rPr>
        <w:t>第二学期开设，2学分，共36学时，其中理论32学时，实践4学时。</w:t>
      </w:r>
    </w:p>
    <w:p>
      <w:pPr>
        <w:spacing w:line="440" w:lineRule="exact"/>
        <w:ind w:firstLine="480" w:firstLineChars="200"/>
        <w:rPr>
          <w:rFonts w:ascii="宋体" w:hAnsi="宋体"/>
          <w:sz w:val="24"/>
        </w:rPr>
      </w:pPr>
      <w:r>
        <w:rPr>
          <w:rFonts w:hint="eastAsia" w:ascii="宋体" w:hAnsi="宋体"/>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40" w:lineRule="exact"/>
        <w:ind w:firstLine="480" w:firstLineChars="200"/>
        <w:rPr>
          <w:rFonts w:ascii="宋体" w:hAnsi="宋体"/>
          <w:sz w:val="24"/>
        </w:rPr>
      </w:pPr>
      <w:r>
        <w:rPr>
          <w:rFonts w:hint="eastAsia" w:ascii="宋体" w:hAnsi="宋体"/>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40" w:lineRule="exact"/>
        <w:ind w:firstLine="480" w:firstLineChars="200"/>
        <w:rPr>
          <w:rFonts w:ascii="宋体" w:hAnsi="宋体"/>
          <w:sz w:val="24"/>
        </w:rPr>
      </w:pPr>
      <w:r>
        <w:rPr>
          <w:rFonts w:hint="eastAsia" w:ascii="宋体" w:hAnsi="宋体"/>
          <w:sz w:val="24"/>
        </w:rPr>
        <w:t>3. 习近平新时代中国特色社会主义思想概论</w:t>
      </w:r>
    </w:p>
    <w:p>
      <w:pPr>
        <w:spacing w:line="440" w:lineRule="exact"/>
        <w:ind w:firstLine="480" w:firstLineChars="200"/>
        <w:rPr>
          <w:rFonts w:ascii="宋体" w:hAnsi="宋体"/>
          <w:sz w:val="24"/>
        </w:rPr>
      </w:pPr>
      <w:r>
        <w:rPr>
          <w:rFonts w:hint="eastAsia" w:ascii="宋体" w:hAnsi="宋体"/>
          <w:sz w:val="24"/>
        </w:rPr>
        <w:t>第三学期、第四学期分批开设，3学分，共54学时，其中理论46学时，实践8学时。</w:t>
      </w:r>
    </w:p>
    <w:p>
      <w:pPr>
        <w:spacing w:line="440" w:lineRule="exact"/>
        <w:ind w:firstLine="480" w:firstLineChars="200"/>
        <w:rPr>
          <w:rFonts w:ascii="宋体" w:hAnsi="宋体"/>
          <w:sz w:val="24"/>
        </w:rPr>
      </w:pPr>
      <w:r>
        <w:rPr>
          <w:rFonts w:hint="eastAsia" w:ascii="宋体" w:hAnsi="宋体"/>
          <w:sz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pPr>
        <w:spacing w:line="440" w:lineRule="exact"/>
        <w:ind w:firstLine="480" w:firstLineChars="200"/>
        <w:rPr>
          <w:rFonts w:ascii="宋体" w:hAnsi="宋体"/>
          <w:sz w:val="24"/>
        </w:rPr>
      </w:pPr>
      <w:r>
        <w:rPr>
          <w:rFonts w:hint="eastAsia" w:ascii="宋体" w:hAnsi="宋体"/>
          <w:sz w:val="24"/>
        </w:rPr>
        <w:t>内容简介：本课程充分体现“十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40" w:lineRule="exact"/>
        <w:ind w:firstLine="480" w:firstLineChars="200"/>
        <w:rPr>
          <w:rFonts w:ascii="宋体" w:hAnsi="宋体"/>
          <w:sz w:val="24"/>
        </w:rPr>
      </w:pPr>
      <w:r>
        <w:rPr>
          <w:rFonts w:hint="eastAsia" w:ascii="宋体" w:hAnsi="宋体"/>
          <w:sz w:val="24"/>
        </w:rPr>
        <w:t>4．形势与政策</w:t>
      </w:r>
    </w:p>
    <w:p>
      <w:pPr>
        <w:spacing w:line="440" w:lineRule="exact"/>
        <w:ind w:firstLine="480" w:firstLineChars="200"/>
        <w:rPr>
          <w:rFonts w:ascii="宋体" w:hAnsi="宋体"/>
          <w:sz w:val="24"/>
        </w:rPr>
      </w:pPr>
      <w:r>
        <w:rPr>
          <w:rFonts w:hint="eastAsia" w:ascii="宋体" w:hAnsi="宋体"/>
          <w:sz w:val="24"/>
        </w:rPr>
        <w:t>第一至四学期开设，2学分，每学期8学时，共32学时，其中理论32学时。</w:t>
      </w:r>
    </w:p>
    <w:p>
      <w:pPr>
        <w:spacing w:line="440" w:lineRule="exact"/>
        <w:ind w:firstLine="480" w:firstLineChars="200"/>
        <w:rPr>
          <w:rFonts w:ascii="宋体" w:hAnsi="宋体"/>
          <w:sz w:val="24"/>
        </w:rPr>
      </w:pPr>
      <w:r>
        <w:rPr>
          <w:rFonts w:hint="eastAsia" w:ascii="宋体" w:hAnsi="宋体"/>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40" w:lineRule="exact"/>
        <w:ind w:firstLine="480" w:firstLineChars="200"/>
        <w:rPr>
          <w:rFonts w:ascii="宋体" w:hAnsi="宋体"/>
          <w:sz w:val="24"/>
        </w:rPr>
      </w:pPr>
      <w:r>
        <w:rPr>
          <w:rFonts w:hint="eastAsia" w:ascii="宋体" w:hAnsi="宋体"/>
          <w:sz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40" w:lineRule="exact"/>
        <w:ind w:firstLine="480" w:firstLineChars="200"/>
        <w:rPr>
          <w:rFonts w:ascii="宋体" w:hAnsi="宋体"/>
          <w:sz w:val="24"/>
        </w:rPr>
      </w:pPr>
      <w:r>
        <w:rPr>
          <w:rFonts w:hint="eastAsia" w:ascii="宋体" w:hAnsi="宋体"/>
          <w:sz w:val="24"/>
        </w:rPr>
        <w:t>5．大学生职业发展与就业指导</w:t>
      </w:r>
    </w:p>
    <w:p>
      <w:pPr>
        <w:spacing w:line="440" w:lineRule="exact"/>
        <w:ind w:firstLine="480" w:firstLineChars="200"/>
        <w:rPr>
          <w:rFonts w:ascii="宋体" w:hAnsi="宋体"/>
          <w:sz w:val="24"/>
        </w:rPr>
      </w:pPr>
      <w:r>
        <w:rPr>
          <w:rFonts w:hint="eastAsia" w:ascii="宋体" w:hAnsi="宋体"/>
          <w:sz w:val="24"/>
        </w:rPr>
        <w:t>第一至四学期开设，2学分，每学期8学时，共32学时，其中理论16学时，实践16学时。</w:t>
      </w:r>
    </w:p>
    <w:p>
      <w:pPr>
        <w:spacing w:line="440" w:lineRule="exact"/>
        <w:ind w:firstLine="480" w:firstLineChars="200"/>
        <w:rPr>
          <w:rFonts w:ascii="宋体" w:hAnsi="宋体"/>
          <w:sz w:val="24"/>
        </w:rPr>
      </w:pPr>
      <w:r>
        <w:rPr>
          <w:rFonts w:hint="eastAsia" w:ascii="宋体" w:hAnsi="宋体"/>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40" w:lineRule="exact"/>
        <w:ind w:firstLine="480" w:firstLineChars="200"/>
        <w:rPr>
          <w:rFonts w:ascii="宋体" w:hAnsi="宋体"/>
          <w:sz w:val="24"/>
        </w:rPr>
      </w:pPr>
      <w:r>
        <w:rPr>
          <w:rFonts w:hint="eastAsia" w:ascii="宋体" w:hAnsi="宋体"/>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pPr>
        <w:spacing w:line="440" w:lineRule="exact"/>
        <w:ind w:firstLine="480" w:firstLineChars="200"/>
        <w:rPr>
          <w:rFonts w:ascii="宋体" w:hAnsi="宋体"/>
          <w:sz w:val="24"/>
        </w:rPr>
      </w:pPr>
      <w:r>
        <w:rPr>
          <w:rFonts w:hint="eastAsia" w:ascii="宋体" w:hAnsi="宋体"/>
          <w:sz w:val="24"/>
        </w:rPr>
        <w:t>6．大学生创新创业基础</w:t>
      </w:r>
    </w:p>
    <w:p>
      <w:pPr>
        <w:spacing w:line="440" w:lineRule="exact"/>
        <w:ind w:firstLine="480" w:firstLineChars="200"/>
        <w:rPr>
          <w:rFonts w:ascii="宋体" w:hAnsi="宋体"/>
          <w:sz w:val="24"/>
        </w:rPr>
      </w:pPr>
      <w:r>
        <w:rPr>
          <w:rFonts w:hint="eastAsia" w:ascii="宋体" w:hAnsi="宋体"/>
          <w:sz w:val="24"/>
        </w:rPr>
        <w:t>第一至四学期开设，2学分，每学期8学时，共32学时，其中理论16学时，实践16学时。</w:t>
      </w:r>
    </w:p>
    <w:p>
      <w:pPr>
        <w:spacing w:line="440" w:lineRule="exact"/>
        <w:ind w:firstLine="480" w:firstLineChars="200"/>
        <w:rPr>
          <w:rFonts w:ascii="宋体" w:hAnsi="宋体"/>
          <w:sz w:val="24"/>
        </w:rPr>
      </w:pPr>
      <w:r>
        <w:rPr>
          <w:rFonts w:hint="eastAsia" w:ascii="宋体" w:hAnsi="宋体"/>
          <w:sz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40" w:lineRule="exact"/>
        <w:ind w:firstLine="480" w:firstLineChars="200"/>
        <w:rPr>
          <w:rFonts w:ascii="宋体" w:hAnsi="宋体"/>
          <w:sz w:val="24"/>
        </w:rPr>
      </w:pPr>
      <w:r>
        <w:rPr>
          <w:rFonts w:hint="eastAsia" w:ascii="宋体" w:hAnsi="宋体"/>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40" w:lineRule="exact"/>
        <w:ind w:firstLine="480" w:firstLineChars="200"/>
        <w:rPr>
          <w:rFonts w:ascii="宋体" w:hAnsi="宋体"/>
          <w:sz w:val="24"/>
        </w:rPr>
      </w:pPr>
      <w:r>
        <w:rPr>
          <w:rFonts w:hint="eastAsia" w:ascii="宋体" w:hAnsi="宋体"/>
          <w:sz w:val="24"/>
        </w:rPr>
        <w:t>7. 大学生心理健康</w:t>
      </w:r>
    </w:p>
    <w:p>
      <w:pPr>
        <w:spacing w:line="440" w:lineRule="exact"/>
        <w:ind w:firstLine="480" w:firstLineChars="200"/>
        <w:rPr>
          <w:rFonts w:ascii="宋体" w:hAnsi="宋体"/>
          <w:sz w:val="24"/>
        </w:rPr>
      </w:pPr>
      <w:r>
        <w:rPr>
          <w:rFonts w:hint="eastAsia" w:ascii="宋体" w:hAnsi="宋体"/>
          <w:sz w:val="24"/>
        </w:rPr>
        <w:t>第一学期开设，2学分，共36学时，其中理论30学时，实践6学时。</w:t>
      </w:r>
    </w:p>
    <w:p>
      <w:pPr>
        <w:spacing w:line="440" w:lineRule="exact"/>
        <w:ind w:firstLine="480" w:firstLineChars="200"/>
        <w:rPr>
          <w:rFonts w:ascii="宋体" w:hAnsi="宋体"/>
          <w:sz w:val="24"/>
        </w:rPr>
      </w:pPr>
      <w:r>
        <w:rPr>
          <w:rFonts w:hint="eastAsia" w:ascii="宋体" w:hAnsi="宋体"/>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40" w:lineRule="exact"/>
        <w:ind w:firstLine="480" w:firstLineChars="200"/>
        <w:rPr>
          <w:rFonts w:ascii="宋体" w:hAnsi="宋体"/>
          <w:sz w:val="24"/>
        </w:rPr>
      </w:pPr>
      <w:r>
        <w:rPr>
          <w:rFonts w:hint="eastAsia" w:ascii="宋体" w:hAnsi="宋体"/>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sz w:val="24"/>
        </w:rPr>
      </w:pPr>
      <w:r>
        <w:rPr>
          <w:rFonts w:hint="eastAsia" w:ascii="宋体" w:hAnsi="宋体"/>
          <w:sz w:val="24"/>
        </w:rPr>
        <w:t>8.大学体育</w:t>
      </w:r>
    </w:p>
    <w:p>
      <w:pPr>
        <w:spacing w:line="440" w:lineRule="exact"/>
        <w:ind w:firstLine="480" w:firstLineChars="200"/>
        <w:rPr>
          <w:rFonts w:ascii="宋体" w:hAnsi="宋体"/>
          <w:sz w:val="24"/>
        </w:rPr>
      </w:pPr>
      <w:r>
        <w:rPr>
          <w:rFonts w:hint="eastAsia" w:ascii="宋体" w:hAnsi="宋体"/>
          <w:sz w:val="24"/>
        </w:rPr>
        <w:t>第一、第二、第三（第四）学期开设，6学分，共108学时，其中理论12学时，实践96学时。</w:t>
      </w:r>
    </w:p>
    <w:p>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rPr>
          <w:color w:val="000000"/>
          <w:sz w:val="24"/>
          <w:szCs w:val="22"/>
        </w:rPr>
      </w:pPr>
      <w:r>
        <w:rPr>
          <w:rFonts w:hint="eastAsia"/>
          <w:color w:val="000000"/>
          <w:sz w:val="24"/>
          <w:szCs w:val="22"/>
        </w:rPr>
        <w:t>专业课程共18门，合计59学分。主要有专业基础课程、专业核心课程和专业拓展课程，专业选修课程。</w:t>
      </w:r>
    </w:p>
    <w:p>
      <w:pPr>
        <w:spacing w:line="440" w:lineRule="exact"/>
        <w:ind w:firstLine="480" w:firstLineChars="200"/>
        <w:rPr>
          <w:color w:val="000000"/>
          <w:sz w:val="24"/>
        </w:rPr>
      </w:pPr>
      <w:r>
        <w:rPr>
          <w:rFonts w:hint="eastAsia"/>
          <w:color w:val="000000"/>
          <w:sz w:val="24"/>
          <w:szCs w:val="22"/>
        </w:rPr>
        <w:t>专业基础课</w:t>
      </w:r>
      <w:r>
        <w:rPr>
          <w:color w:val="000000"/>
          <w:sz w:val="24"/>
        </w:rPr>
        <w:t>程主要包括</w:t>
      </w:r>
      <w:r>
        <w:rPr>
          <w:rFonts w:hint="eastAsia"/>
          <w:color w:val="000000"/>
          <w:sz w:val="24"/>
        </w:rPr>
        <w:t>：</w:t>
      </w:r>
      <w:r>
        <w:rPr>
          <w:rFonts w:hint="eastAsia" w:ascii="宋体" w:hAnsi="宋体"/>
          <w:sz w:val="24"/>
        </w:rPr>
        <w:t>管理学基础、经济学基础、市场调查预测与分析、商务礼仪、物业会计基础、物业财务管理</w:t>
      </w:r>
      <w:r>
        <w:rPr>
          <w:color w:val="000000"/>
          <w:sz w:val="24"/>
        </w:rPr>
        <w:t>；</w:t>
      </w:r>
    </w:p>
    <w:p>
      <w:pPr>
        <w:spacing w:before="10" w:after="10" w:line="440" w:lineRule="exact"/>
        <w:ind w:firstLine="480"/>
        <w:jc w:val="left"/>
        <w:rPr>
          <w:color w:val="000000"/>
          <w:sz w:val="24"/>
        </w:rPr>
      </w:pPr>
      <w:r>
        <w:rPr>
          <w:color w:val="000000"/>
          <w:sz w:val="24"/>
        </w:rPr>
        <w:t>专业核心课程</w:t>
      </w:r>
      <w:r>
        <w:rPr>
          <w:rFonts w:hint="eastAsia"/>
          <w:color w:val="000000"/>
          <w:sz w:val="24"/>
        </w:rPr>
        <w:t>包括：</w:t>
      </w:r>
      <w:r>
        <w:rPr>
          <w:rFonts w:hint="eastAsia" w:ascii="宋体" w:hAnsi="宋体"/>
          <w:sz w:val="24"/>
        </w:rPr>
        <w:t>物业管理理论与实务、物业管理法律法规、物业客户服务管理、物业经营管理</w:t>
      </w:r>
      <w:r>
        <w:rPr>
          <w:color w:val="000000"/>
          <w:sz w:val="24"/>
        </w:rPr>
        <w:t>等；</w:t>
      </w:r>
    </w:p>
    <w:p>
      <w:pPr>
        <w:spacing w:line="440" w:lineRule="exact"/>
        <w:ind w:firstLine="480" w:firstLineChars="200"/>
        <w:rPr>
          <w:rFonts w:ascii="宋体" w:hAnsi="宋体"/>
          <w:sz w:val="24"/>
        </w:rPr>
      </w:pPr>
      <w:r>
        <w:rPr>
          <w:color w:val="000000"/>
          <w:sz w:val="24"/>
        </w:rPr>
        <w:t>专业拓展课程</w:t>
      </w:r>
      <w:r>
        <w:rPr>
          <w:rFonts w:hint="eastAsia"/>
          <w:color w:val="000000"/>
          <w:sz w:val="24"/>
        </w:rPr>
        <w:t>主要</w:t>
      </w:r>
      <w:r>
        <w:rPr>
          <w:color w:val="000000"/>
          <w:sz w:val="24"/>
        </w:rPr>
        <w:t>包括</w:t>
      </w:r>
      <w:r>
        <w:rPr>
          <w:rFonts w:hint="eastAsia"/>
          <w:color w:val="000000"/>
          <w:sz w:val="24"/>
        </w:rPr>
        <w:t>：</w:t>
      </w:r>
      <w:r>
        <w:rPr>
          <w:rFonts w:hint="eastAsia" w:ascii="宋体" w:hAnsi="宋体"/>
          <w:sz w:val="24"/>
        </w:rPr>
        <w:t>智能楼宇管理、新媒体营销；</w:t>
      </w:r>
    </w:p>
    <w:p>
      <w:pPr>
        <w:pStyle w:val="2"/>
        <w:ind w:firstLine="240"/>
      </w:pPr>
      <w:r>
        <w:rPr>
          <w:rFonts w:hint="eastAsia"/>
        </w:rPr>
        <w:t xml:space="preserve">  专业选修课程包括：创业意识（GYB）、创办你的企业（SYB）、。</w:t>
      </w:r>
    </w:p>
    <w:p>
      <w:pPr>
        <w:spacing w:line="440" w:lineRule="exact"/>
        <w:ind w:firstLine="480" w:firstLineChars="200"/>
        <w:rPr>
          <w:rFonts w:ascii="宋体" w:hAnsi="宋体"/>
          <w:sz w:val="24"/>
        </w:rPr>
      </w:pPr>
      <w:r>
        <w:rPr>
          <w:rFonts w:hint="eastAsia" w:ascii="宋体" w:hAnsi="宋体"/>
          <w:sz w:val="24"/>
        </w:rPr>
        <w:t>主要专业课介绍如下：</w:t>
      </w:r>
      <w:r>
        <w:rPr>
          <w:rFonts w:hint="eastAsia" w:ascii="宋体" w:hAnsi="宋体"/>
          <w:sz w:val="24"/>
        </w:rPr>
        <w:tab/>
      </w:r>
    </w:p>
    <w:p>
      <w:pPr>
        <w:pStyle w:val="37"/>
        <w:numPr>
          <w:ilvl w:val="0"/>
          <w:numId w:val="3"/>
        </w:numPr>
        <w:spacing w:line="440" w:lineRule="exact"/>
        <w:ind w:firstLineChars="0"/>
        <w:rPr>
          <w:rFonts w:ascii="宋体" w:hAnsi="宋体"/>
          <w:sz w:val="24"/>
        </w:rPr>
      </w:pPr>
      <w:r>
        <w:rPr>
          <w:rFonts w:hint="eastAsia" w:ascii="宋体" w:hAnsi="宋体"/>
          <w:sz w:val="24"/>
        </w:rPr>
        <w:t>物业管理理论与实务</w:t>
      </w:r>
    </w:p>
    <w:p>
      <w:pPr>
        <w:spacing w:line="440" w:lineRule="exact"/>
        <w:ind w:left="480"/>
        <w:rPr>
          <w:rFonts w:ascii="宋体" w:hAnsi="宋体"/>
          <w:sz w:val="24"/>
        </w:rPr>
      </w:pPr>
      <w:r>
        <w:rPr>
          <w:rFonts w:hint="eastAsia" w:ascii="宋体" w:hAnsi="宋体"/>
          <w:sz w:val="24"/>
        </w:rPr>
        <w:t>第二学期开设，72学时，其中理论36学时，实践36学时。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通过本课程的学习，可使学生较全面地掌握物业管理实务的基本原理和基础知识、相关的法律法规的运用。为物业管理专业的学生学习后续课程提供法理视角的理论支持以后所从事的物业管理工作奠定坚实的法理基础掌握物业管理实务体系，了解物业管理实务的现状，培养学生分析问题、解决问题的能力。着重培养学生的自觉运用知识的能力。</w:t>
      </w:r>
    </w:p>
    <w:p>
      <w:pPr>
        <w:spacing w:line="440" w:lineRule="exact"/>
        <w:ind w:firstLine="480" w:firstLineChars="200"/>
        <w:rPr>
          <w:rFonts w:ascii="宋体" w:hAnsi="宋体"/>
          <w:sz w:val="24"/>
        </w:rPr>
      </w:pPr>
      <w:r>
        <w:rPr>
          <w:rFonts w:hint="eastAsia" w:ascii="宋体" w:hAnsi="宋体"/>
          <w:sz w:val="24"/>
        </w:rPr>
        <w:t>内容简介：一是房屋维修与管理：主要论述房屋修缮的作用与原则，维修管理的内容，物业管理公司与业主各自在维修管理中的作用等。二是设备维修与管理，这是实务中的主要部分，包括：物业电气工程设备系统的维修与管理等。</w:t>
      </w:r>
    </w:p>
    <w:p>
      <w:pPr>
        <w:pStyle w:val="37"/>
        <w:numPr>
          <w:ilvl w:val="0"/>
          <w:numId w:val="3"/>
        </w:numPr>
        <w:spacing w:line="440" w:lineRule="exact"/>
        <w:ind w:firstLineChars="0"/>
        <w:rPr>
          <w:rFonts w:ascii="宋体" w:hAnsi="宋体"/>
          <w:sz w:val="24"/>
        </w:rPr>
      </w:pPr>
      <w:r>
        <w:rPr>
          <w:rFonts w:hint="eastAsia" w:ascii="宋体" w:hAnsi="宋体"/>
          <w:sz w:val="24"/>
        </w:rPr>
        <w:t>物业管理法律法规</w:t>
      </w:r>
    </w:p>
    <w:p>
      <w:pPr>
        <w:spacing w:line="440" w:lineRule="exact"/>
        <w:ind w:left="480"/>
        <w:rPr>
          <w:rFonts w:ascii="宋体" w:hAnsi="宋体"/>
          <w:sz w:val="24"/>
        </w:rPr>
      </w:pPr>
      <w:r>
        <w:rPr>
          <w:rFonts w:hint="eastAsia" w:ascii="宋体" w:hAnsi="宋体"/>
          <w:sz w:val="24"/>
        </w:rPr>
        <w:t>第二学期开设，72学时，其中理论36学时，实践36学时。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按照综合职业能力的要求，本课程的设置，旨在丰富学生的知识结构，提高学生的法律意识。通过课程学习，培养学生知法、懂法、守法的意识，加强自身的专业修养，提高实际工作中与业主交流、协调的能力。通过课程学习，培养学生对物业管理法律法规灵活运用的能力，增强学生处理物业纠纷的能力。</w:t>
      </w:r>
    </w:p>
    <w:p>
      <w:pPr>
        <w:spacing w:line="440" w:lineRule="exact"/>
        <w:ind w:firstLine="480" w:firstLineChars="200"/>
        <w:rPr>
          <w:rFonts w:ascii="宋体" w:hAnsi="宋体"/>
          <w:sz w:val="24"/>
        </w:rPr>
      </w:pPr>
      <w:r>
        <w:rPr>
          <w:rFonts w:hint="eastAsia" w:ascii="宋体" w:hAnsi="宋体"/>
          <w:sz w:val="24"/>
        </w:rPr>
        <w:t>内容简介：主要内容包括，法律体系的基本架构、物业的招投标工作、物业合同制定等</w:t>
      </w:r>
    </w:p>
    <w:p>
      <w:pPr>
        <w:pStyle w:val="2"/>
        <w:numPr>
          <w:ilvl w:val="0"/>
          <w:numId w:val="3"/>
        </w:numPr>
        <w:tabs>
          <w:tab w:val="left" w:pos="363"/>
        </w:tabs>
        <w:spacing w:line="440" w:lineRule="exact"/>
        <w:ind w:firstLineChars="0"/>
      </w:pPr>
      <w:r>
        <w:rPr>
          <w:rFonts w:hint="eastAsia"/>
          <w:kern w:val="0"/>
        </w:rPr>
        <w:t>商务礼仪</w:t>
      </w:r>
    </w:p>
    <w:p>
      <w:pPr>
        <w:pStyle w:val="2"/>
        <w:spacing w:line="440" w:lineRule="exact"/>
        <w:ind w:firstLine="480" w:firstLineChars="200"/>
      </w:pPr>
      <w:r>
        <w:rPr>
          <w:rFonts w:hint="eastAsia"/>
        </w:rPr>
        <w:t>第二学期开设，4学分，共72学时，其中理论36学时，实践36学时。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基础课课程，商务礼仪课程是一门实践性和应用性很强的课程，也是一门讲授商务礼仪的基本理论、基本概念和重要礼仪知识的学科。通过21世纪职业人士必备的礼仪规范及其在商务交往中的操作程序的学习，使学生掌握商务礼仪的基本知识和操作方法，帮助学生培养良好的姿容仪态、风度修养，形成良好的人际关系，为生活与工作创造良好的内部环境和外部环境奠定基础。</w:t>
      </w:r>
    </w:p>
    <w:p>
      <w:pPr>
        <w:pStyle w:val="2"/>
        <w:spacing w:line="440" w:lineRule="exact"/>
        <w:ind w:firstLine="480" w:firstLineChars="200"/>
      </w:pPr>
      <w:r>
        <w:rPr>
          <w:rFonts w:hint="eastAsia" w:ascii="宋体" w:hAnsi="宋体"/>
        </w:rPr>
        <w:t>内容简介： 商务礼仪是一门综合性较强的行为科学。本课程的主要内容有：一般礼仪的内涵，渊源与道德修养的联系，礼仪在现代社会生活中的重要地位及个人应具备的礼仪素养，商务交际礼仪，涉外商务礼仪，国际商务礼仪与禁忌等，既弘扬优良礼传统，又突出体现现代商务礼仪的文化品位，提高大学生的礼仪水平，使大学生有效地展现自已的教养、风度和魅力，以及对社会的认识水准、个人学识、修养和价值。</w:t>
      </w:r>
    </w:p>
    <w:p>
      <w:pPr>
        <w:numPr>
          <w:ilvl w:val="0"/>
          <w:numId w:val="3"/>
        </w:numPr>
        <w:spacing w:line="440" w:lineRule="exact"/>
        <w:rPr>
          <w:rFonts w:ascii="宋体" w:hAnsi="宋体"/>
          <w:sz w:val="24"/>
        </w:rPr>
      </w:pPr>
      <w:r>
        <w:rPr>
          <w:rFonts w:hint="eastAsia" w:ascii="宋体" w:hAnsi="宋体"/>
          <w:sz w:val="24"/>
        </w:rPr>
        <w:t>商务数据分析与应用</w:t>
      </w:r>
    </w:p>
    <w:p>
      <w:pPr>
        <w:spacing w:line="440" w:lineRule="exact"/>
        <w:ind w:firstLine="480" w:firstLineChars="200"/>
        <w:rPr>
          <w:rFonts w:ascii="宋体" w:hAnsi="宋体"/>
          <w:sz w:val="24"/>
        </w:rPr>
      </w:pPr>
      <w:r>
        <w:rPr>
          <w:rFonts w:hint="eastAsia" w:ascii="宋体" w:hAnsi="宋体"/>
          <w:sz w:val="24"/>
        </w:rPr>
        <w:t>课程目标：第四学期开设，72学时，其中理论24学时、实训48学时，本课程是电子商务专业的核心课程，根据高职商务数据分析与应用人才培养的特点，课程要求学生理解商务数据分析的意义、作用、一般流程、典型分析任务、常用分析模型、常用分析方法；了解常用数据存储查询工具、数据分析工具、数据可视化工具等；掌握行业数据分析、客户数据分析、产品数据分析、销售数据分析、推广数据分析以及员工绩效分析的内容、方法、工具与流程；理解商务数据分析报告的概念、类型、构成，能够根据企业要求撰写分析报告。</w:t>
      </w:r>
    </w:p>
    <w:p>
      <w:pPr>
        <w:spacing w:line="440" w:lineRule="exact"/>
        <w:ind w:firstLine="480" w:firstLineChars="200"/>
      </w:pPr>
      <w:r>
        <w:rPr>
          <w:rFonts w:hint="eastAsia" w:ascii="宋体" w:hAnsi="宋体"/>
          <w:sz w:val="24"/>
        </w:rPr>
        <w:t>内容简介：基于统计学的方法、基于机器学习的方法、数据分析常用模型、数据分析常用工具开展的行业数据采集、产业链分析、细分市场分析、行业竞争分析、客户数据挖掘与分析、客户价值评估、产品数据挖掘与分析、用户体验分析、运营数据挖掘与分析、员工绩效分析、分析报告撰写等。</w:t>
      </w:r>
    </w:p>
    <w:p>
      <w:pPr>
        <w:pStyle w:val="37"/>
        <w:numPr>
          <w:ilvl w:val="0"/>
          <w:numId w:val="3"/>
        </w:numPr>
        <w:spacing w:line="440" w:lineRule="exact"/>
        <w:ind w:firstLineChars="0"/>
        <w:rPr>
          <w:rFonts w:ascii="宋体" w:hAnsi="宋体"/>
          <w:sz w:val="24"/>
        </w:rPr>
      </w:pPr>
      <w:r>
        <w:rPr>
          <w:rFonts w:hint="eastAsia" w:ascii="宋体" w:hAnsi="宋体"/>
          <w:sz w:val="24"/>
        </w:rPr>
        <w:t>物业客户服务管理</w:t>
      </w:r>
    </w:p>
    <w:p>
      <w:pPr>
        <w:spacing w:line="440" w:lineRule="exact"/>
        <w:ind w:left="480"/>
        <w:rPr>
          <w:rFonts w:ascii="宋体" w:hAnsi="宋体"/>
          <w:sz w:val="24"/>
        </w:rPr>
      </w:pPr>
      <w:r>
        <w:rPr>
          <w:rFonts w:hint="eastAsia" w:ascii="宋体" w:hAnsi="宋体"/>
          <w:sz w:val="24"/>
        </w:rPr>
        <w:t>第三学期开设，72学时，其中理论36学时，实践36学时。</w:t>
      </w:r>
    </w:p>
    <w:p>
      <w:pPr>
        <w:spacing w:line="440" w:lineRule="exact"/>
        <w:ind w:firstLine="480" w:firstLineChars="200"/>
        <w:rPr>
          <w:rFonts w:ascii="宋体" w:hAnsi="宋体"/>
          <w:sz w:val="24"/>
        </w:rPr>
      </w:pPr>
      <w:r>
        <w:rPr>
          <w:rFonts w:hint="eastAsia" w:ascii="宋体" w:hAnsi="宋体"/>
          <w:sz w:val="24"/>
        </w:rPr>
        <w:t>课程目标：是现代物业管理专业的一门专业核心课程，针对目前物业相关行业对从业人员在客户服务理论和实际操作能力方面的具体要求，该课程重在培养学生对现代客户服务能力以及在结合自身理论知识的前提下对物业项目进行管理和策划的实际执行能力。</w:t>
      </w:r>
    </w:p>
    <w:p>
      <w:pPr>
        <w:spacing w:line="440" w:lineRule="exact"/>
        <w:ind w:firstLine="480" w:firstLineChars="200"/>
        <w:rPr>
          <w:rFonts w:ascii="宋体" w:hAnsi="宋体"/>
          <w:sz w:val="24"/>
        </w:rPr>
      </w:pPr>
      <w:r>
        <w:rPr>
          <w:rFonts w:hint="eastAsia" w:ascii="宋体" w:hAnsi="宋体"/>
          <w:sz w:val="24"/>
        </w:rPr>
        <w:t>内容简介：该课程以服务客户营销理论为基础，科学界定了物业营销，分析了物业营销环境、物业购置者行为；在对物业产品市场细分及定位策略分析的基础上，阐述了物业产品营销策略、物业产品价格营销策略、物业销售渠道策略和物业产品促销组合策略；阐述了以人为本的物业营销观点；对物业客户服务计划的内容任务及其控制作了简单的介绍。</w:t>
      </w:r>
    </w:p>
    <w:p>
      <w:pPr>
        <w:spacing w:line="440" w:lineRule="exact"/>
        <w:ind w:firstLine="480" w:firstLineChars="200"/>
        <w:rPr>
          <w:rFonts w:ascii="宋体" w:hAnsi="宋体"/>
          <w:sz w:val="24"/>
        </w:rPr>
      </w:pPr>
      <w:r>
        <w:rPr>
          <w:rFonts w:hint="eastAsia" w:ascii="宋体" w:hAnsi="宋体"/>
          <w:sz w:val="24"/>
        </w:rPr>
        <w:t>6.新媒体营销</w:t>
      </w:r>
    </w:p>
    <w:p>
      <w:pPr>
        <w:spacing w:line="440" w:lineRule="exact"/>
        <w:ind w:firstLine="480" w:firstLineChars="200"/>
        <w:rPr>
          <w:rFonts w:ascii="宋体" w:hAnsi="宋体"/>
          <w:sz w:val="24"/>
        </w:rPr>
      </w:pPr>
      <w:r>
        <w:rPr>
          <w:rFonts w:hint="eastAsia" w:ascii="宋体" w:hAnsi="宋体"/>
          <w:sz w:val="24"/>
        </w:rPr>
        <w:t>课程目标：第四学期开设，72学时，其中理论24学时、实训48学时，本课程是电子商务专业的核心课程，通过本课程的学习，让学生们并掌握新媒体营销的基本知识、最新发展以及相关原理，新媒体营销的最新发展状况，熟练掌握门户网站营销、短视频营销、搜索引擎营销、自媒体营销、头条营销、微博营销、微信营销等新媒体营销的方法技巧，并通过大量案例分析，使学生能够接触到业界前沿的营销方式，培养学生对本课程的兴趣爱好和主动学习能力，实现学生专业能力的可持续发展。通过小组教学培养学生的团队协作能力，通过项目教学培养学生的职业素养，实现学生到职业人身份的转变。</w:t>
      </w:r>
    </w:p>
    <w:p>
      <w:pPr>
        <w:spacing w:line="440" w:lineRule="exact"/>
        <w:ind w:firstLine="480" w:firstLineChars="200"/>
        <w:rPr>
          <w:rFonts w:ascii="宋体" w:hAnsi="宋体"/>
          <w:sz w:val="24"/>
        </w:rPr>
      </w:pPr>
      <w:r>
        <w:rPr>
          <w:rFonts w:hint="eastAsia" w:ascii="宋体" w:hAnsi="宋体"/>
          <w:sz w:val="24"/>
        </w:rPr>
        <w:t>内容简介：主要内容包括新媒体营销与运营概述、新媒体用户与内容定位、新媒体营销思路、微博营销与运营、社群营销与运营、音频、视频和直播营销与运营、自媒体营销与运营、新媒体营销策划、新媒体营销传播、新媒体数据分析与内容优化。</w:t>
      </w:r>
    </w:p>
    <w:p>
      <w:pPr>
        <w:pStyle w:val="2"/>
        <w:ind w:firstLine="240"/>
      </w:pPr>
    </w:p>
    <w:p>
      <w:pPr>
        <w:spacing w:before="156" w:beforeLines="50" w:line="440" w:lineRule="exact"/>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（一）教学周数分配表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（三）实习实践教学安排表          （附表三）</w:t>
      </w:r>
    </w:p>
    <w:p>
      <w:pPr>
        <w:spacing w:line="440" w:lineRule="exact"/>
        <w:ind w:firstLine="480" w:firstLineChars="200"/>
        <w:rPr>
          <w:rFonts w:ascii="宋体" w:hAnsi="宋体"/>
          <w:sz w:val="24"/>
        </w:rPr>
      </w:pPr>
      <w:r>
        <w:rPr>
          <w:rFonts w:hint="eastAsia" w:ascii="宋体" w:hAnsi="宋体"/>
          <w:sz w:val="24"/>
        </w:rPr>
        <w:t>（四）公共选修（国学辅修）课程    （附表四）</w:t>
      </w:r>
    </w:p>
    <w:p>
      <w:pPr>
        <w:spacing w:line="440" w:lineRule="exact"/>
        <w:ind w:firstLine="480" w:firstLineChars="200"/>
        <w:rPr>
          <w:rFonts w:ascii="宋体" w:hAnsi="宋体"/>
          <w:sz w:val="24"/>
        </w:rPr>
      </w:pPr>
      <w:r>
        <w:rPr>
          <w:rFonts w:hint="eastAsia" w:ascii="宋体" w:hAnsi="宋体"/>
          <w:sz w:val="24"/>
        </w:rPr>
        <w:t>（五）学时比例表                  （附表五）</w:t>
      </w:r>
    </w:p>
    <w:p>
      <w:pPr>
        <w:spacing w:before="156" w:beforeLines="50" w:line="440" w:lineRule="exact"/>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exact"/>
        <w:ind w:firstLine="480" w:firstLineChars="200"/>
        <w:rPr>
          <w:rFonts w:ascii="宋体" w:hAnsi="宋体"/>
          <w:sz w:val="24"/>
        </w:rPr>
      </w:pPr>
      <w:r>
        <w:rPr>
          <w:rFonts w:hint="eastAsia" w:ascii="宋体" w:hAnsi="宋体"/>
          <w:sz w:val="24"/>
        </w:rPr>
        <w:t>专业课教师知晓本专业部分核心课程，专业知识扎实，专业视野宽广，实践技能较强，富有改革和创新精神。具有较高的教学能力，具有先进的职业教育理念，熟悉行业、企业新技术发展动态。具有把握专业发展方向的能力，能主持专业课程开发，带动课程教学团队进行教育教学改革，如进行精品课程建设、教材建设、校内外基地建设、技术应用开发和技术服务等。能建设符合项目式、模块化教学需要的教学创新团队，不断优化教师能力结构。</w:t>
      </w:r>
    </w:p>
    <w:p>
      <w:pPr>
        <w:spacing w:line="440" w:lineRule="exact"/>
        <w:ind w:firstLine="480" w:firstLineChars="200"/>
        <w:rPr>
          <w:rFonts w:ascii="宋体" w:hAnsi="宋体"/>
          <w:sz w:val="24"/>
        </w:rPr>
      </w:pPr>
      <w:r>
        <w:rPr>
          <w:rFonts w:hint="eastAsia" w:ascii="宋体" w:hAnsi="宋体"/>
          <w:sz w:val="24"/>
        </w:rPr>
        <w:t>专业师资配备主要包括一名专业带头人、骨干教师数名，专兼教师比例合理；研究生学历教师占比100%；专任教师中获得职业资格证书或系列专业职称证书达100%；双师素质教师占比100%，具有企业或行业工作经历和技术专长。</w:t>
      </w:r>
    </w:p>
    <w:p>
      <w:pPr>
        <w:spacing w:line="440" w:lineRule="exact"/>
        <w:ind w:firstLine="480" w:firstLineChars="200"/>
        <w:rPr>
          <w:rFonts w:ascii="宋体" w:hAnsi="宋体"/>
          <w:sz w:val="24"/>
        </w:rPr>
      </w:pPr>
      <w:r>
        <w:rPr>
          <w:rFonts w:hint="eastAsia" w:ascii="宋体" w:hAnsi="宋体"/>
          <w:sz w:val="24"/>
        </w:rPr>
        <w:t>1.专任教师</w:t>
      </w:r>
    </w:p>
    <w:p>
      <w:pPr>
        <w:spacing w:line="440" w:lineRule="exact"/>
        <w:ind w:firstLine="480" w:firstLineChars="200"/>
        <w:rPr>
          <w:rFonts w:ascii="宋体" w:hAnsi="宋体"/>
          <w:sz w:val="24"/>
        </w:rPr>
      </w:pPr>
      <w:r>
        <w:rPr>
          <w:rFonts w:hint="eastAsia" w:ascii="宋体" w:hAnsi="宋体"/>
          <w:sz w:val="24"/>
        </w:rPr>
        <w:t>具有高校教师资格和本专业领域有关证书；有理想信念、有道德情操、有扎实学识、有仁爱之心；具有物业管理相关专业本科及以上学历；具有扎实的本专业相关理论底和实践能力；具有较强的信息化教学能力，能够开展课程教学改革和科学研究；每5年累计不少于6个月的企业实践经历。</w:t>
      </w:r>
    </w:p>
    <w:p>
      <w:pPr>
        <w:spacing w:line="440" w:lineRule="exact"/>
        <w:ind w:firstLine="480" w:firstLineChars="200"/>
        <w:rPr>
          <w:rFonts w:ascii="宋体" w:hAnsi="宋体"/>
          <w:sz w:val="24"/>
        </w:rPr>
      </w:pPr>
      <w:r>
        <w:rPr>
          <w:rFonts w:hint="eastAsia" w:ascii="宋体" w:hAnsi="宋体"/>
          <w:sz w:val="24"/>
        </w:rPr>
        <w:t>2.专业带头人</w:t>
      </w:r>
    </w:p>
    <w:p>
      <w:pPr>
        <w:spacing w:line="440" w:lineRule="exact"/>
        <w:ind w:firstLine="480" w:firstLineChars="200"/>
        <w:rPr>
          <w:rFonts w:ascii="宋体" w:hAnsi="宋体"/>
          <w:sz w:val="24"/>
        </w:rPr>
      </w:pPr>
      <w:r>
        <w:rPr>
          <w:rFonts w:hint="eastAsia" w:ascii="宋体" w:hAnsi="宋体"/>
          <w:sz w:val="24"/>
        </w:rPr>
        <w:t>原则上应具有中级及以上职称，能够较好地把握国内外行业、专业发展，能广泛联系行业企业，了解行业企业对本专业人才的实际需求，教学设计、专业研究能力强，组织开展教科研工作能力强，在本区域或本领域具有一定的专业影响力。</w:t>
      </w:r>
    </w:p>
    <w:p>
      <w:pPr>
        <w:spacing w:line="440" w:lineRule="exact"/>
        <w:ind w:firstLine="480" w:firstLineChars="200"/>
        <w:rPr>
          <w:rFonts w:ascii="宋体" w:hAnsi="宋体"/>
          <w:sz w:val="24"/>
        </w:rPr>
      </w:pPr>
      <w:r>
        <w:rPr>
          <w:rFonts w:hint="eastAsia" w:ascii="宋体" w:hAnsi="宋体"/>
          <w:sz w:val="24"/>
        </w:rPr>
        <w:t>3.兼职教师</w:t>
      </w:r>
    </w:p>
    <w:p>
      <w:pPr>
        <w:spacing w:line="440" w:lineRule="exact"/>
        <w:ind w:firstLine="480" w:firstLineChars="200"/>
        <w:rPr>
          <w:rFonts w:ascii="宋体" w:hAnsi="宋体"/>
          <w:sz w:val="24"/>
        </w:rPr>
      </w:pPr>
      <w:r>
        <w:rPr>
          <w:rFonts w:hint="eastAsia" w:ascii="宋体" w:hAnsi="宋体"/>
          <w:sz w:val="24"/>
        </w:rPr>
        <w:t>主要从物业管理相关企业聘任，具备良好的思想政治素质、职业道德和工匠精神，具有扎实的专业知识和丰富的实际工作经验，具有中级及以上相关专业职称，能承担专业课程教学、实习实训指导和学生职业发展规划指导等教学任务。</w:t>
      </w:r>
    </w:p>
    <w:p>
      <w:pPr>
        <w:spacing w:line="440" w:lineRule="exact"/>
        <w:ind w:firstLine="480" w:firstLineChars="200"/>
        <w:rPr>
          <w:rFonts w:ascii="宋体" w:hAnsi="宋体"/>
          <w:sz w:val="24"/>
        </w:rPr>
      </w:pPr>
      <w:r>
        <w:rPr>
          <w:rFonts w:hint="eastAsia" w:ascii="宋体" w:hAnsi="宋体"/>
          <w:sz w:val="24"/>
        </w:rPr>
        <w:t>（二）教学设施</w:t>
      </w:r>
    </w:p>
    <w:p>
      <w:pPr>
        <w:spacing w:line="440" w:lineRule="exact"/>
        <w:ind w:firstLine="480" w:firstLineChars="200"/>
        <w:rPr>
          <w:rFonts w:ascii="宋体" w:hAnsi="宋体"/>
          <w:sz w:val="24"/>
        </w:rPr>
      </w:pPr>
      <w:r>
        <w:rPr>
          <w:rFonts w:hint="eastAsia" w:ascii="宋体" w:hAnsi="宋体"/>
          <w:sz w:val="24"/>
        </w:rPr>
        <w:t>教学设施主要包括能够满足正常课程教学、实习实训所需的专业教室、校内实训室和校外实训室等。</w:t>
      </w:r>
    </w:p>
    <w:p>
      <w:pPr>
        <w:spacing w:line="440" w:lineRule="exact"/>
        <w:ind w:firstLine="480" w:firstLineChars="200"/>
        <w:rPr>
          <w:rFonts w:ascii="宋体" w:hAnsi="宋体"/>
          <w:sz w:val="24"/>
        </w:rPr>
      </w:pPr>
      <w:r>
        <w:rPr>
          <w:rFonts w:hint="eastAsia" w:ascii="宋体" w:hAnsi="宋体"/>
          <w:sz w:val="24"/>
        </w:rPr>
        <w:t>1.专业教室基本条件</w:t>
      </w:r>
    </w:p>
    <w:p>
      <w:pPr>
        <w:spacing w:line="440" w:lineRule="exact"/>
        <w:ind w:firstLine="480" w:firstLineChars="200"/>
        <w:rPr>
          <w:rFonts w:ascii="宋体" w:hAnsi="宋体"/>
          <w:sz w:val="24"/>
        </w:rPr>
      </w:pPr>
      <w:r>
        <w:rPr>
          <w:rFonts w:hint="eastAsia" w:ascii="宋体" w:hAnsi="宋体"/>
          <w:sz w:val="24"/>
        </w:rPr>
        <w:t>专业教室一般配备黑白板、多媒体计算机、投影设备、音响设备、互联网接入或Wi-Fi环境，并实施网络安全防护措施；安装应急照明装置并保持良好状态，符合紧急疏散要求，标志明显，保持逃生通道畅通无阻。</w:t>
      </w:r>
    </w:p>
    <w:p>
      <w:pPr>
        <w:spacing w:line="440" w:lineRule="exact"/>
        <w:ind w:firstLine="480" w:firstLineChars="200"/>
        <w:rPr>
          <w:rFonts w:ascii="宋体" w:hAnsi="宋体"/>
          <w:sz w:val="24"/>
        </w:rPr>
      </w:pPr>
      <w:r>
        <w:rPr>
          <w:rFonts w:hint="eastAsia" w:ascii="宋体" w:hAnsi="宋体"/>
          <w:sz w:val="24"/>
        </w:rPr>
        <w:t>2.校内实训室基本要求</w:t>
      </w:r>
    </w:p>
    <w:p>
      <w:pPr>
        <w:spacing w:line="440" w:lineRule="exact"/>
        <w:ind w:firstLine="480" w:firstLineChars="200"/>
        <w:rPr>
          <w:rFonts w:ascii="宋体" w:hAnsi="宋体"/>
          <w:sz w:val="24"/>
        </w:rPr>
      </w:pPr>
      <w:r>
        <w:rPr>
          <w:rFonts w:hint="eastAsia" w:ascii="宋体" w:hAnsi="宋体"/>
          <w:sz w:val="24"/>
        </w:rPr>
        <w:t>（1）物业管理实训室</w:t>
      </w:r>
    </w:p>
    <w:p>
      <w:pPr>
        <w:spacing w:line="440" w:lineRule="exact"/>
        <w:ind w:firstLine="480" w:firstLineChars="200"/>
        <w:rPr>
          <w:rFonts w:ascii="宋体" w:hAnsi="宋体"/>
          <w:sz w:val="24"/>
        </w:rPr>
      </w:pPr>
      <w:r>
        <w:rPr>
          <w:rFonts w:hint="eastAsia" w:ascii="宋体" w:hAnsi="宋体"/>
          <w:sz w:val="24"/>
        </w:rPr>
        <w:t>具有机器设备，物业管理模拟教学软件，及配套设施等仪器。实训设施齐备，实训岗位、实训指导教师确定，实训管理及实施规章制度齐全。</w:t>
      </w:r>
    </w:p>
    <w:p>
      <w:pPr>
        <w:spacing w:line="440" w:lineRule="exact"/>
        <w:ind w:firstLine="480" w:firstLineChars="200"/>
        <w:rPr>
          <w:rFonts w:ascii="宋体" w:hAnsi="宋体"/>
          <w:sz w:val="24"/>
        </w:rPr>
      </w:pPr>
      <w:r>
        <w:rPr>
          <w:rFonts w:hint="eastAsia" w:ascii="宋体" w:hAnsi="宋体"/>
          <w:sz w:val="24"/>
        </w:rPr>
        <w:t>（2）个案实训室</w:t>
      </w:r>
    </w:p>
    <w:p>
      <w:pPr>
        <w:spacing w:line="440" w:lineRule="exact"/>
        <w:ind w:firstLine="480" w:firstLineChars="200"/>
        <w:rPr>
          <w:rFonts w:ascii="宋体" w:hAnsi="宋体"/>
          <w:sz w:val="24"/>
        </w:rPr>
      </w:pPr>
      <w:r>
        <w:rPr>
          <w:rFonts w:hint="eastAsia" w:ascii="宋体" w:hAnsi="宋体"/>
          <w:sz w:val="24"/>
        </w:rPr>
        <w:t>个案相谈室、心理测量沙盘、小组活动室、多媒体监控系统、单面镜、个案状况测评软件系统、心理测量软件系统、小组活动道具箱、个案辅导室环境布置等。</w:t>
      </w:r>
    </w:p>
    <w:p>
      <w:pPr>
        <w:spacing w:line="440" w:lineRule="exact"/>
        <w:ind w:firstLine="480" w:firstLineChars="200"/>
        <w:rPr>
          <w:rFonts w:ascii="宋体" w:hAnsi="宋体"/>
          <w:sz w:val="24"/>
        </w:rPr>
      </w:pPr>
      <w:r>
        <w:rPr>
          <w:rFonts w:hint="eastAsia" w:ascii="宋体" w:hAnsi="宋体"/>
          <w:sz w:val="24"/>
        </w:rPr>
        <w:t>3.校外实训基地基本要求</w:t>
      </w:r>
    </w:p>
    <w:p>
      <w:pPr>
        <w:spacing w:line="440" w:lineRule="exact"/>
        <w:ind w:firstLine="480" w:firstLineChars="200"/>
        <w:rPr>
          <w:rFonts w:ascii="宋体" w:hAnsi="宋体"/>
          <w:sz w:val="24"/>
        </w:rPr>
      </w:pPr>
      <w:r>
        <w:rPr>
          <w:rFonts w:hint="eastAsia" w:ascii="宋体" w:hAnsi="宋体"/>
          <w:sz w:val="24"/>
        </w:rPr>
        <w:t>校外实训基地基本要求为：具有稳定的校外实训基地。能够物业管理实务、等工作的实训活动。实训设施齐备，实训岗位、实训指导教师确定，实训管理及实施规章制度齐全。</w:t>
      </w:r>
    </w:p>
    <w:p>
      <w:pPr>
        <w:spacing w:line="440" w:lineRule="exact"/>
        <w:ind w:firstLine="480" w:firstLineChars="200"/>
        <w:rPr>
          <w:rFonts w:ascii="宋体" w:hAnsi="宋体"/>
          <w:sz w:val="24"/>
        </w:rPr>
      </w:pPr>
      <w:r>
        <w:rPr>
          <w:rFonts w:hint="eastAsia" w:ascii="宋体" w:hAnsi="宋体"/>
          <w:sz w:val="24"/>
        </w:rPr>
        <w:t>4.学生实习基地基本要求</w:t>
      </w:r>
    </w:p>
    <w:p>
      <w:pPr>
        <w:spacing w:line="440" w:lineRule="exact"/>
        <w:ind w:firstLine="480" w:firstLineChars="200"/>
        <w:rPr>
          <w:rFonts w:ascii="宋体" w:hAnsi="宋体"/>
          <w:sz w:val="24"/>
        </w:rPr>
      </w:pPr>
      <w:r>
        <w:rPr>
          <w:rFonts w:hint="eastAsia" w:ascii="宋体" w:hAnsi="宋体"/>
          <w:sz w:val="24"/>
        </w:rPr>
        <w:t>学生实习基地基本要求为：具有稳定的校外实习基地。能提供物业管理相关实习岗位；能涵盖当前相关产业发展的主流技术，可接纳一定规模的学生实习；能够配备相应数量的指导教师对学生实产进行指导和管理；有保证实习生日常工作、学习、生活的规章制度，有安全、保险保障。</w:t>
      </w:r>
    </w:p>
    <w:p>
      <w:pPr>
        <w:spacing w:line="440" w:lineRule="exact"/>
        <w:ind w:firstLine="480" w:firstLineChars="200"/>
        <w:rPr>
          <w:rFonts w:ascii="宋体" w:hAnsi="宋体"/>
          <w:sz w:val="24"/>
        </w:rPr>
      </w:pPr>
      <w:r>
        <w:rPr>
          <w:rFonts w:hint="eastAsia" w:ascii="宋体" w:hAnsi="宋体"/>
          <w:sz w:val="24"/>
        </w:rPr>
        <w:t>5.支持信息化教学方面的基本要求</w:t>
      </w:r>
    </w:p>
    <w:p>
      <w:pPr>
        <w:spacing w:line="440" w:lineRule="exact"/>
        <w:ind w:firstLine="480" w:firstLineChars="200"/>
        <w:rPr>
          <w:rFonts w:ascii="宋体" w:hAnsi="宋体"/>
          <w:sz w:val="24"/>
        </w:rPr>
      </w:pPr>
      <w:r>
        <w:rPr>
          <w:rFonts w:hint="eastAsia" w:ascii="宋体" w:hAnsi="宋体"/>
          <w:sz w:val="24"/>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pPr>
        <w:spacing w:line="440" w:lineRule="exact"/>
        <w:ind w:firstLine="480" w:firstLineChars="200"/>
        <w:rPr>
          <w:rFonts w:ascii="宋体" w:hAnsi="宋体"/>
          <w:sz w:val="24"/>
        </w:rPr>
      </w:pPr>
      <w:r>
        <w:rPr>
          <w:rFonts w:hint="eastAsia" w:ascii="宋体" w:hAnsi="宋体"/>
          <w:sz w:val="24"/>
        </w:rPr>
        <w:t>（三）教学资源</w:t>
      </w:r>
    </w:p>
    <w:p>
      <w:pPr>
        <w:spacing w:line="440" w:lineRule="exact"/>
        <w:ind w:firstLine="480" w:firstLineChars="200"/>
        <w:rPr>
          <w:rFonts w:ascii="宋体" w:hAnsi="宋体"/>
          <w:sz w:val="24"/>
        </w:rPr>
      </w:pPr>
      <w:r>
        <w:rPr>
          <w:rFonts w:hint="eastAsia" w:ascii="宋体" w:hAnsi="宋体"/>
          <w:sz w:val="24"/>
        </w:rPr>
        <w:t>1.教材选用基本要求</w:t>
      </w:r>
    </w:p>
    <w:p>
      <w:pPr>
        <w:spacing w:line="440" w:lineRule="exact"/>
        <w:ind w:firstLine="480" w:firstLineChars="200"/>
        <w:rPr>
          <w:rFonts w:ascii="宋体" w:hAnsi="宋体"/>
          <w:sz w:val="24"/>
        </w:rPr>
      </w:pPr>
      <w:r>
        <w:rPr>
          <w:rFonts w:hint="eastAsia" w:ascii="宋体" w:hAnsi="宋体"/>
          <w:sz w:val="24"/>
        </w:rPr>
        <w:t>严格按照国家规定进行教材的选用与征订。每学期对教材进行抽样检查，审核教材内容、出版时间、教材类型和意识形态等。哲学及社科类教材通过学院党总支委员会、党政联席会和学校常委会审核，保证教材符合社会主义意识形态和党的路线方针政策。适应“互联网+职业教育”发展需求，选用体现新技术、新工艺、新规范等的高质量教材，引入典型生产案例，开发和选用适用的活页式、工单式等新型产教融合教材。</w:t>
      </w:r>
    </w:p>
    <w:p>
      <w:pPr>
        <w:spacing w:line="440" w:lineRule="exact"/>
        <w:ind w:firstLine="480" w:firstLineChars="200"/>
        <w:rPr>
          <w:rFonts w:ascii="宋体" w:hAnsi="宋体"/>
          <w:sz w:val="24"/>
        </w:rPr>
      </w:pPr>
      <w:r>
        <w:rPr>
          <w:rFonts w:hint="eastAsia" w:ascii="宋体" w:hAnsi="宋体"/>
          <w:sz w:val="24"/>
        </w:rPr>
        <w:t>2.图书文献配备基本要求</w:t>
      </w:r>
    </w:p>
    <w:p>
      <w:pPr>
        <w:spacing w:line="440" w:lineRule="exact"/>
        <w:ind w:firstLine="480" w:firstLineChars="200"/>
        <w:rPr>
          <w:rFonts w:ascii="宋体" w:hAnsi="宋体"/>
          <w:sz w:val="24"/>
        </w:rPr>
      </w:pPr>
      <w:r>
        <w:rPr>
          <w:rFonts w:hint="eastAsia" w:ascii="宋体" w:hAnsi="宋体"/>
          <w:sz w:val="24"/>
        </w:rPr>
        <w:t>图书文献配备能满足人才培养、专业建设、教科研等工作的需要，方便师生查询、借阅。专业类图书文献主要包括：物业管理、房地产经营与管理、物业管理员等管理类图书。</w:t>
      </w:r>
    </w:p>
    <w:p>
      <w:pPr>
        <w:spacing w:line="440" w:lineRule="exact"/>
        <w:ind w:firstLine="480" w:firstLineChars="200"/>
        <w:rPr>
          <w:rFonts w:ascii="宋体" w:hAnsi="宋体"/>
          <w:sz w:val="24"/>
        </w:rPr>
      </w:pPr>
      <w:r>
        <w:rPr>
          <w:rFonts w:hint="eastAsia" w:ascii="宋体" w:hAnsi="宋体"/>
          <w:sz w:val="24"/>
        </w:rPr>
        <w:t>3.数字教学资源配置基本要求</w:t>
      </w:r>
    </w:p>
    <w:p>
      <w:pPr>
        <w:spacing w:line="440" w:lineRule="exact"/>
        <w:ind w:firstLine="480" w:firstLineChars="200"/>
        <w:rPr>
          <w:rFonts w:ascii="宋体" w:hAnsi="宋体"/>
          <w:sz w:val="24"/>
        </w:rPr>
      </w:pPr>
      <w:r>
        <w:rPr>
          <w:rFonts w:hint="eastAsia" w:ascii="宋体" w:hAnsi="宋体"/>
          <w:sz w:val="24"/>
        </w:rPr>
        <w:t>建设、配备与本专业相关的音视频素材、教学课件、数字化教学案例库、虚拟仿真软件、数字教材等专业教学资源库，应种类丰富、形式多样，使用便捷、动态更新，能满足教学要求。</w:t>
      </w:r>
    </w:p>
    <w:p>
      <w:pPr>
        <w:spacing w:line="440" w:lineRule="exact"/>
        <w:ind w:firstLine="480" w:firstLineChars="200"/>
        <w:rPr>
          <w:rFonts w:ascii="宋体" w:hAnsi="宋体"/>
          <w:sz w:val="24"/>
        </w:rPr>
      </w:pPr>
      <w:r>
        <w:rPr>
          <w:rFonts w:hint="eastAsia" w:ascii="宋体" w:hAnsi="宋体"/>
          <w:sz w:val="24"/>
        </w:rPr>
        <w:t>（四）教学方法</w:t>
      </w:r>
    </w:p>
    <w:p>
      <w:pPr>
        <w:spacing w:line="440" w:lineRule="exact"/>
        <w:ind w:firstLine="480" w:firstLineChars="200"/>
        <w:rPr>
          <w:rFonts w:ascii="宋体" w:hAnsi="宋体"/>
          <w:sz w:val="24"/>
        </w:rPr>
      </w:pPr>
      <w:r>
        <w:rPr>
          <w:rFonts w:hint="eastAsia" w:ascii="宋体" w:hAnsi="宋体"/>
          <w:sz w:val="24"/>
        </w:rPr>
        <w:t>1.教学方法</w:t>
      </w:r>
    </w:p>
    <w:p>
      <w:pPr>
        <w:spacing w:line="440" w:lineRule="exact"/>
        <w:ind w:firstLine="480" w:firstLineChars="200"/>
        <w:rPr>
          <w:rFonts w:ascii="宋体" w:hAnsi="宋体"/>
          <w:sz w:val="24"/>
        </w:rPr>
      </w:pPr>
      <w:r>
        <w:rPr>
          <w:rFonts w:hint="eastAsia" w:ascii="宋体" w:hAnsi="宋体"/>
          <w:sz w:val="24"/>
        </w:rPr>
        <w:t>本专业教学过程中要求学生既要有一定深度的理论知识，也要求具备优秀的专业技能，两者不能或缺。因此，在教学实施过程中，应将理论培养与技术培训相结合，既要引导学生牢固掌握专业基础理论知识，也要突出专业技术能力。在教学过程中灵活运用讲授法、案例教学法、情景教学法、项目教学法等教学方法，保证课堂教学的吸引力。本专业建议采用的教学方法有：</w:t>
      </w:r>
    </w:p>
    <w:p>
      <w:pPr>
        <w:spacing w:line="440" w:lineRule="exact"/>
        <w:ind w:firstLine="480" w:firstLineChars="200"/>
        <w:rPr>
          <w:rFonts w:ascii="宋体" w:hAnsi="宋体"/>
          <w:sz w:val="24"/>
        </w:rPr>
      </w:pPr>
      <w:r>
        <w:rPr>
          <w:rFonts w:hint="eastAsia" w:ascii="宋体" w:hAnsi="宋体"/>
          <w:sz w:val="24"/>
        </w:rPr>
        <w:t>（1）讲授法：讲授法是最基本的教学方法，对重要的理论知识的教学采用讲授的教学方法，直接、快速、精炼地让学生掌握，为学生在实践中能更游刃有余地应用所学知识和技能打好坚实的理论基础。</w:t>
      </w:r>
    </w:p>
    <w:p>
      <w:pPr>
        <w:spacing w:line="440" w:lineRule="exact"/>
        <w:ind w:firstLine="480" w:firstLineChars="200"/>
        <w:rPr>
          <w:rFonts w:ascii="宋体" w:hAnsi="宋体"/>
          <w:sz w:val="24"/>
        </w:rPr>
      </w:pPr>
      <w:r>
        <w:rPr>
          <w:rFonts w:hint="eastAsia" w:ascii="宋体" w:hAnsi="宋体"/>
          <w:sz w:val="24"/>
        </w:rPr>
        <w:t>（2）案例教学法：在教师的指导下，由学生对选定的具有代表性的典型案例，进行有针对性的分析、梳理和讨论，做出自己的判断和评价。这种教学方法拓宽了学生的思维空间，增加了学习兴趣，提高了学生的能力。案例教学法在课程中的应用，充分发挥了它的启发性、实践性，开发了学生思维能力，提高了学生的判断能力、决策能力和综合素质。</w:t>
      </w:r>
    </w:p>
    <w:p>
      <w:pPr>
        <w:spacing w:line="440" w:lineRule="exact"/>
        <w:ind w:firstLine="480" w:firstLineChars="200"/>
        <w:rPr>
          <w:rFonts w:ascii="宋体" w:hAnsi="宋体"/>
          <w:sz w:val="24"/>
        </w:rPr>
      </w:pPr>
      <w:r>
        <w:rPr>
          <w:rFonts w:hint="eastAsia" w:ascii="宋体" w:hAnsi="宋体"/>
          <w:sz w:val="24"/>
        </w:rPr>
        <w:t>（3）情景教学法：情景教学法是本专业实操课最为普遍使用的一种教学方法。实训场所在规划、建设时均按照企业实际经营模式设计建设，给学生一个真实的环境，在根据用人单位各岗位的工作任务，设定教学内容。再通过教师的组织、学生的演练，在仿真近乎真实的环境下、切实的工作任务中达到教学目标，既锻炼了学生的临场应变、实景操作的能力，又让学生感受了物业工作的实际状态，提高了教学的感染力。这种教学方法在各职业技能课程中的运用，不仅提高了学生的学习兴趣和动手能力，还培养了学生适应今后工作环境的能力。</w:t>
      </w:r>
    </w:p>
    <w:p>
      <w:pPr>
        <w:spacing w:line="440" w:lineRule="exact"/>
        <w:ind w:firstLine="480" w:firstLineChars="200"/>
        <w:rPr>
          <w:rFonts w:ascii="宋体" w:hAnsi="宋体"/>
          <w:sz w:val="24"/>
        </w:rPr>
      </w:pPr>
      <w:r>
        <w:rPr>
          <w:rFonts w:hint="eastAsia" w:ascii="宋体" w:hAnsi="宋体"/>
          <w:sz w:val="24"/>
        </w:rPr>
        <w:t>2．信息化手段应用</w:t>
      </w:r>
    </w:p>
    <w:p>
      <w:pPr>
        <w:spacing w:line="440" w:lineRule="exact"/>
        <w:ind w:firstLine="480" w:firstLineChars="200"/>
        <w:rPr>
          <w:rFonts w:ascii="宋体" w:hAnsi="宋体"/>
          <w:sz w:val="24"/>
        </w:rPr>
      </w:pPr>
      <w:r>
        <w:rPr>
          <w:rFonts w:hint="eastAsia" w:ascii="宋体" w:hAnsi="宋体"/>
          <w:sz w:val="24"/>
        </w:rPr>
        <w:t>本专业借助智能化、物联网、大数据、云计算的时代契机，利用学系统等信息化教学方式与手段，提高教学效率与质量。并在加强专业教学资源库建设的基础上，构建网络课程，应用于教学实践，打破时间与空间的界限，为开展学生的“自主学习”创造更为有利的条件。其建设内容主要有交互性平台建设、监控性功能建设、考核评价系统建设等内容。</w:t>
      </w:r>
    </w:p>
    <w:p>
      <w:pPr>
        <w:spacing w:line="440" w:lineRule="exact"/>
        <w:ind w:firstLine="480" w:firstLineChars="200"/>
        <w:rPr>
          <w:rFonts w:ascii="宋体" w:hAnsi="宋体"/>
          <w:sz w:val="24"/>
        </w:rPr>
      </w:pPr>
      <w:r>
        <w:rPr>
          <w:rFonts w:hint="eastAsia" w:ascii="宋体" w:hAnsi="宋体"/>
          <w:sz w:val="24"/>
        </w:rPr>
        <w:t>（五）教学评价</w:t>
      </w:r>
    </w:p>
    <w:p>
      <w:pPr>
        <w:spacing w:line="440" w:lineRule="exact"/>
        <w:ind w:firstLine="480" w:firstLineChars="200"/>
        <w:rPr>
          <w:rFonts w:ascii="宋体" w:hAnsi="宋体"/>
          <w:sz w:val="24"/>
        </w:rPr>
      </w:pPr>
      <w:r>
        <w:rPr>
          <w:rFonts w:hint="eastAsia" w:ascii="宋体" w:hAnsi="宋体"/>
          <w:sz w:val="24"/>
        </w:rPr>
        <w:t>采用过程性与结果性相结合的评价方式，考试课由平时成绩和期末试卷成绩共同构成，各部分所占比例，由任课教师根据课程实施过程中的课堂参与度以及学生的创作程度来确定。考查课则以创作作品、现场展示、团队协作完成任务等等多种形式进行。集中实训课程的学习评价，由岗位实习指导老师评价、校内指导老师、服务对象评价等三方构成。</w:t>
      </w:r>
    </w:p>
    <w:p>
      <w:pPr>
        <w:spacing w:before="156" w:beforeLines="50" w:line="440" w:lineRule="exact"/>
        <w:rPr>
          <w:rFonts w:ascii="宋体" w:hAnsi="宋体"/>
          <w:b/>
          <w:sz w:val="24"/>
        </w:rPr>
      </w:pPr>
      <w:r>
        <w:rPr>
          <w:rFonts w:hint="eastAsia" w:ascii="宋体" w:hAnsi="宋体"/>
          <w:b/>
          <w:sz w:val="24"/>
        </w:rPr>
        <w:t>九、质量管理</w:t>
      </w:r>
    </w:p>
    <w:p>
      <w:pPr>
        <w:spacing w:line="360" w:lineRule="exact"/>
        <w:rPr>
          <w:rFonts w:ascii="宋体" w:hAnsi="宋体"/>
          <w:sz w:val="24"/>
        </w:rPr>
      </w:pPr>
      <w:r>
        <w:rPr>
          <w:rFonts w:hint="eastAsia" w:ascii="宋体" w:hAnsi="宋体"/>
          <w:sz w:val="24"/>
        </w:rPr>
        <w:t>（一）电商物流学院成立由专业带头人、骨干教师、管理人员和行业企业专家组成的现代物业管理专业建设委员会，定期开展市场调研，了解本专业人力资源需求状况和本院该专业毕业生就业情况及用人单位对学生满意度；适时召开会议研究专业建设过程中相关问题，建立规范化的专业建设标准。</w:t>
      </w:r>
    </w:p>
    <w:p>
      <w:pPr>
        <w:spacing w:line="360" w:lineRule="exact"/>
        <w:ind w:firstLine="480" w:firstLineChars="200"/>
        <w:rPr>
          <w:rFonts w:ascii="宋体" w:hAnsi="宋体"/>
          <w:sz w:val="24"/>
        </w:rPr>
      </w:pPr>
      <w:r>
        <w:rPr>
          <w:rFonts w:hint="eastAsia" w:ascii="宋体" w:hAnsi="宋体"/>
          <w:sz w:val="24"/>
        </w:rPr>
        <w:t>1.课内教学质量监控</w:t>
      </w:r>
    </w:p>
    <w:p>
      <w:pPr>
        <w:spacing w:line="360" w:lineRule="exact"/>
        <w:ind w:firstLine="480" w:firstLineChars="200"/>
        <w:rPr>
          <w:rFonts w:ascii="宋体" w:hAnsi="宋体"/>
          <w:sz w:val="24"/>
        </w:rPr>
      </w:pPr>
      <w:r>
        <w:rPr>
          <w:rFonts w:hint="eastAsia" w:ascii="宋体" w:hAnsi="宋体"/>
          <w:sz w:val="24"/>
        </w:rPr>
        <w:t>建立完善的教学质量监控系统,分别包括学院教学质量评价体系、院领导听课制度及学生信息员制度，确保对教学质量的有效监督。</w:t>
      </w:r>
    </w:p>
    <w:p>
      <w:pPr>
        <w:spacing w:line="360" w:lineRule="exact"/>
        <w:rPr>
          <w:rFonts w:ascii="宋体" w:hAnsi="宋体"/>
          <w:sz w:val="24"/>
        </w:rPr>
      </w:pPr>
      <w:r>
        <w:rPr>
          <w:rFonts w:hint="eastAsia" w:ascii="宋体" w:hAnsi="宋体"/>
          <w:sz w:val="24"/>
        </w:rPr>
        <w:t xml:space="preserve"> 　  2．实践教学管理</w:t>
      </w:r>
    </w:p>
    <w:p>
      <w:pPr>
        <w:spacing w:line="360" w:lineRule="exact"/>
        <w:rPr>
          <w:rFonts w:ascii="宋体" w:hAnsi="宋体"/>
          <w:sz w:val="24"/>
        </w:rPr>
      </w:pPr>
      <w:r>
        <w:rPr>
          <w:rFonts w:hint="eastAsia" w:ascii="宋体" w:hAnsi="宋体"/>
          <w:sz w:val="24"/>
        </w:rPr>
        <w:t xml:space="preserve">   　实践教学将由专业课教师根据物业管理企业的基本业务内容,设计并组织实施具有一定综合性的实训活动，对学生进行该项技能的专门训练和考核。活动完成后对学生技能掌握情况给出专门的考核成绩，计入该门课程的考核成绩体系之中，从而确保学生实践技能得以有效提升。</w:t>
      </w:r>
    </w:p>
    <w:p>
      <w:pPr>
        <w:spacing w:line="360" w:lineRule="exact"/>
        <w:rPr>
          <w:rFonts w:ascii="宋体" w:hAnsi="宋体"/>
          <w:sz w:val="24"/>
        </w:rPr>
      </w:pPr>
      <w:r>
        <w:rPr>
          <w:rFonts w:hint="eastAsia" w:ascii="宋体" w:hAnsi="宋体"/>
          <w:sz w:val="24"/>
        </w:rPr>
        <w:t>　   3.毕业顶岗实习管理</w:t>
      </w:r>
    </w:p>
    <w:p>
      <w:pPr>
        <w:spacing w:line="360" w:lineRule="exact"/>
        <w:rPr>
          <w:rFonts w:ascii="宋体" w:hAnsi="宋体"/>
          <w:sz w:val="24"/>
        </w:rPr>
      </w:pPr>
      <w:r>
        <w:rPr>
          <w:rFonts w:hint="eastAsia" w:ascii="宋体" w:hAnsi="宋体"/>
          <w:sz w:val="24"/>
        </w:rPr>
        <w:t>　   顶岗实习要求学生以实习小组为单位进行真实环境下的实战训练和实习,达到真正掌握技能的目的。要求学生在实习期间每周必须写出实习记录和实习体会,实习小组要组织开展学习讨论、问题研讨等活动,对组织活动的情况进行详细记录。实习结束以后，要求学生撰写和提交毕业实习报告,交指导教师批阅后纳入学生“综合能力考核”的成绩体系中。</w:t>
      </w:r>
    </w:p>
    <w:p>
      <w:pPr>
        <w:spacing w:line="360" w:lineRule="exact"/>
        <w:ind w:firstLine="480" w:firstLineChars="200"/>
        <w:rPr>
          <w:rFonts w:ascii="宋体" w:hAnsi="宋体"/>
          <w:sz w:val="24"/>
        </w:rPr>
      </w:pPr>
      <w:r>
        <w:rPr>
          <w:rFonts w:hint="eastAsia" w:ascii="宋体" w:hAnsi="宋体"/>
          <w:sz w:val="24"/>
        </w:rPr>
        <w:t>（二）学校实行教务处（校）—教学办（院）—教研室三级教学运行管理和督导团（校）—督导组（院）二级教学督导管理体制。学院教学工作由分管教学副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pPr>
        <w:spacing w:line="360" w:lineRule="exact"/>
        <w:ind w:firstLine="480" w:firstLineChars="200"/>
        <w:rPr>
          <w:rFonts w:ascii="宋体" w:hAnsi="宋体"/>
          <w:sz w:val="24"/>
        </w:rPr>
      </w:pPr>
      <w:r>
        <w:rPr>
          <w:rFonts w:hint="eastAsia" w:ascii="宋体" w:hAnsi="宋体"/>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pPr>
        <w:spacing w:line="360" w:lineRule="exact"/>
        <w:ind w:firstLine="480" w:firstLineChars="200"/>
        <w:rPr>
          <w:rFonts w:ascii="宋体" w:hAnsi="宋体"/>
          <w:sz w:val="24"/>
        </w:rPr>
      </w:pPr>
      <w:r>
        <w:rPr>
          <w:rFonts w:hint="eastAsia" w:ascii="宋体" w:hAnsi="宋体"/>
          <w:sz w:val="24"/>
        </w:rPr>
        <w:t>（四）物业管理专业建设委员会吸纳行业专家、教师和管理人员成立专项调研组，负责本专业的社会需求、毕业生跟踪调查和新生素质调查等工作，为本专业的招生和就业提供支持。</w:t>
      </w:r>
    </w:p>
    <w:p>
      <w:pPr>
        <w:spacing w:before="156" w:beforeLines="50" w:line="440" w:lineRule="exact"/>
        <w:rPr>
          <w:rFonts w:ascii="宋体" w:hAnsi="宋体"/>
          <w:b/>
          <w:sz w:val="24"/>
        </w:rPr>
      </w:pPr>
      <w:r>
        <w:rPr>
          <w:rFonts w:hint="eastAsia" w:ascii="宋体" w:hAnsi="宋体"/>
          <w:b/>
          <w:sz w:val="24"/>
        </w:rPr>
        <w:t>十、毕业要求</w:t>
      </w:r>
    </w:p>
    <w:p>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（一）学分要求：本专业必须修满138学分方可毕业。其中，公共基础课37学分；专业课55学分；公共选修课6学分、专业选修4分、拓展课4学分；集中实践实训课36学分。</w:t>
      </w:r>
    </w:p>
    <w:p>
      <w:pPr>
        <w:spacing w:line="440" w:lineRule="exact"/>
        <w:ind w:firstLine="480" w:firstLineChars="200"/>
        <w:rPr>
          <w:rFonts w:ascii="宋体" w:hAnsi="宋体"/>
          <w:sz w:val="24"/>
        </w:rPr>
      </w:pPr>
      <w:r>
        <w:rPr>
          <w:rFonts w:hint="eastAsia" w:ascii="宋体" w:hAnsi="宋体"/>
          <w:sz w:val="24"/>
        </w:rPr>
        <w:t>（二）完成毕业实习报告和物业综合技能达标测试。</w:t>
      </w:r>
    </w:p>
    <w:p>
      <w:pPr>
        <w:spacing w:line="440" w:lineRule="exact"/>
        <w:ind w:firstLine="480" w:firstLineChars="200"/>
        <w:rPr>
          <w:rFonts w:ascii="宋体" w:hAnsi="宋体"/>
          <w:sz w:val="24"/>
        </w:rPr>
      </w:pPr>
      <w:r>
        <w:rPr>
          <w:rFonts w:hint="eastAsia" w:ascii="宋体" w:hAnsi="宋体"/>
          <w:sz w:val="24"/>
        </w:rPr>
        <w:t>（三）获得至少一种相关资格证书：</w:t>
      </w:r>
    </w:p>
    <w:p>
      <w:pPr>
        <w:spacing w:before="10" w:after="10" w:line="440" w:lineRule="exact"/>
        <w:ind w:firstLine="480"/>
        <w:jc w:val="left"/>
        <w:rPr>
          <w:color w:val="000000"/>
          <w:sz w:val="24"/>
        </w:rPr>
      </w:pPr>
      <w:r>
        <w:rPr>
          <w:rFonts w:hint="eastAsia" w:ascii="宋体" w:hAnsi="宋体"/>
          <w:sz w:val="24"/>
        </w:rPr>
        <w:t>1.</w:t>
      </w:r>
      <w:r>
        <w:rPr>
          <w:color w:val="000000"/>
          <w:sz w:val="24"/>
        </w:rPr>
        <w:t>普通话二级乙等证书</w:t>
      </w:r>
      <w:r>
        <w:rPr>
          <w:rFonts w:hint="eastAsia"/>
          <w:color w:val="000000"/>
          <w:sz w:val="24"/>
        </w:rPr>
        <w:t>计</w:t>
      </w:r>
      <w:r>
        <w:rPr>
          <w:color w:val="000000"/>
          <w:sz w:val="24"/>
        </w:rPr>
        <w:t>1学分；</w:t>
      </w:r>
    </w:p>
    <w:p>
      <w:pPr>
        <w:spacing w:line="440" w:lineRule="exact"/>
        <w:ind w:firstLine="480" w:firstLineChars="200"/>
        <w:rPr>
          <w:rFonts w:ascii="宋体" w:hAnsi="宋体"/>
          <w:sz w:val="24"/>
        </w:rPr>
      </w:pPr>
      <w:r>
        <w:rPr>
          <w:rFonts w:hint="eastAsia" w:ascii="宋体" w:hAnsi="宋体"/>
          <w:sz w:val="24"/>
        </w:rPr>
        <w:t>2.物业管理员、智能楼宇管理员证书计</w:t>
      </w:r>
      <w:r>
        <w:rPr>
          <w:rFonts w:ascii="宋体" w:hAnsi="宋体"/>
          <w:sz w:val="24"/>
        </w:rPr>
        <w:t>1</w:t>
      </w:r>
      <w:r>
        <w:rPr>
          <w:rFonts w:hint="eastAsia" w:ascii="宋体" w:hAnsi="宋体"/>
          <w:sz w:val="24"/>
        </w:rPr>
        <w:t>学分。</w:t>
      </w:r>
    </w:p>
    <w:p>
      <w:pPr>
        <w:spacing w:before="156" w:beforeLines="50" w:line="440" w:lineRule="exact"/>
        <w:rPr>
          <w:rFonts w:ascii="宋体" w:hAnsi="宋体"/>
          <w:b/>
          <w:sz w:val="24"/>
        </w:rPr>
      </w:pPr>
      <w:r>
        <w:rPr>
          <w:rFonts w:hint="eastAsia" w:ascii="宋体" w:hAnsi="宋体"/>
          <w:b/>
          <w:sz w:val="24"/>
        </w:rPr>
        <w:t>十一、人才培养方案的特色与创新</w:t>
      </w:r>
    </w:p>
    <w:p>
      <w:pPr>
        <w:spacing w:line="440" w:lineRule="exact"/>
        <w:ind w:firstLine="480" w:firstLineChars="200"/>
        <w:rPr>
          <w:rFonts w:ascii="宋体" w:hAnsi="宋体"/>
          <w:sz w:val="24"/>
        </w:rPr>
      </w:pPr>
      <w:r>
        <w:rPr>
          <w:rFonts w:hint="eastAsia" w:ascii="宋体" w:hAnsi="宋体"/>
          <w:sz w:val="24"/>
        </w:rPr>
        <w:t>建立“政物企校四联动”的人才培养模式。</w:t>
      </w:r>
    </w:p>
    <w:p>
      <w:pPr>
        <w:spacing w:line="440" w:lineRule="exact"/>
        <w:ind w:firstLine="480" w:firstLineChars="200"/>
        <w:rPr>
          <w:rFonts w:ascii="宋体" w:hAnsi="宋体"/>
          <w:sz w:val="24"/>
        </w:rPr>
      </w:pPr>
      <w:r>
        <w:rPr>
          <w:rFonts w:hint="eastAsia" w:ascii="宋体" w:hAnsi="宋体"/>
          <w:sz w:val="24"/>
        </w:rPr>
        <w:t>坚持以高职教育理论为指导，全面贯彻国家“校企合作、工学结合”的职教方针，按照学院“专业核心能力+综合素质+专业证书”的人才培养要求，践行学院“高素质为本，高技能为重，高就业导向，创新促发展”的办学理念，探索构建“政物企校四联动”的人才培养模式。</w:t>
      </w:r>
    </w:p>
    <w:p>
      <w:pPr>
        <w:spacing w:line="440" w:lineRule="exact"/>
        <w:ind w:firstLine="480" w:firstLineChars="200"/>
        <w:rPr>
          <w:rFonts w:ascii="宋体" w:hAnsi="宋体"/>
          <w:sz w:val="24"/>
        </w:rPr>
      </w:pPr>
      <w:r>
        <w:rPr>
          <w:rFonts w:hint="eastAsia" w:ascii="宋体" w:hAnsi="宋体"/>
          <w:sz w:val="24"/>
        </w:rPr>
        <w:t>该专业设置突出“管理”与“服务”的双向理念，构建“政物企校四联动”人才培养模式和职业能力培养方案，培养能适应洛阳区域物业建设、管理与服务需求，具有较强语言表达和人际沟通能力，能够熟练运用物业工作方法、调查方法等基本技能，具备良好的职业道德、健康的个性品质和较强的可持续发展能力的高素质技术技能型人才。</w:t>
      </w:r>
    </w:p>
    <w:p>
      <w:pPr>
        <w:spacing w:before="10" w:after="10" w:line="440" w:lineRule="exact"/>
        <w:rPr>
          <w:color w:val="FF0000"/>
          <w:sz w:val="24"/>
          <w:szCs w:val="22"/>
        </w:rPr>
      </w:pPr>
    </w:p>
    <w:p>
      <w:pPr>
        <w:spacing w:before="10" w:after="10" w:line="440" w:lineRule="exact"/>
        <w:rPr>
          <w:color w:val="FF0000"/>
          <w:sz w:val="24"/>
          <w:szCs w:val="22"/>
        </w:rPr>
      </w:pPr>
    </w:p>
    <w:p>
      <w:pPr>
        <w:spacing w:line="440" w:lineRule="exact"/>
        <w:rPr>
          <w:rFonts w:ascii="宋体" w:hAnsi="宋体"/>
          <w:sz w:val="24"/>
        </w:rPr>
        <w:sectPr>
          <w:pgSz w:w="11906" w:h="16838"/>
          <w:pgMar w:top="1440" w:right="1800" w:bottom="1440" w:left="1800" w:header="851" w:footer="992" w:gutter="0"/>
          <w:cols w:space="720" w:num="1"/>
          <w:docGrid w:type="lines" w:linePitch="312" w:charSpace="0"/>
        </w:sectPr>
      </w:pPr>
    </w:p>
    <w:p>
      <w:pPr>
        <w:spacing w:line="440" w:lineRule="exact"/>
        <w:rPr>
          <w:rFonts w:ascii="宋体" w:hAnsi="宋体"/>
          <w:sz w:val="24"/>
        </w:rPr>
      </w:pPr>
    </w:p>
    <w:p>
      <w:pPr>
        <w:spacing w:line="440" w:lineRule="exact"/>
        <w:ind w:firstLine="602" w:firstLineChars="250"/>
        <w:jc w:val="center"/>
        <w:rPr>
          <w:rFonts w:ascii="宋体" w:hAnsi="宋体"/>
          <w:b/>
          <w:sz w:val="24"/>
        </w:rPr>
      </w:pPr>
      <w:r>
        <w:rPr>
          <w:rFonts w:hint="eastAsia" w:ascii="宋体" w:hAnsi="宋体"/>
          <w:b/>
          <w:sz w:val="24"/>
        </w:rPr>
        <w:t>教学周具体安排表</w:t>
      </w:r>
    </w:p>
    <w:p>
      <w:pPr>
        <w:spacing w:line="440" w:lineRule="exact"/>
        <w:ind w:firstLine="600" w:firstLineChars="250"/>
        <w:jc w:val="center"/>
        <w:rPr>
          <w:rFonts w:ascii="宋体" w:hAnsi="宋体"/>
          <w:sz w:val="24"/>
        </w:rPr>
      </w:pPr>
    </w:p>
    <w:tbl>
      <w:tblPr>
        <w:tblStyle w:val="11"/>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617"/>
        <w:gridCol w:w="617"/>
        <w:gridCol w:w="617"/>
        <w:gridCol w:w="618"/>
        <w:gridCol w:w="617"/>
        <w:gridCol w:w="617"/>
        <w:gridCol w:w="618"/>
        <w:gridCol w:w="617"/>
        <w:gridCol w:w="539"/>
        <w:gridCol w:w="696"/>
        <w:gridCol w:w="617"/>
        <w:gridCol w:w="617"/>
        <w:gridCol w:w="617"/>
        <w:gridCol w:w="618"/>
        <w:gridCol w:w="617"/>
        <w:gridCol w:w="617"/>
        <w:gridCol w:w="618"/>
        <w:gridCol w:w="618"/>
        <w:gridCol w:w="602"/>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617" w:type="dxa"/>
            <w:vAlign w:val="center"/>
          </w:tcPr>
          <w:p>
            <w:pPr>
              <w:spacing w:line="440" w:lineRule="exact"/>
              <w:jc w:val="center"/>
              <w:rPr>
                <w:rFonts w:ascii="宋体" w:hAnsi="宋体"/>
                <w:szCs w:val="21"/>
              </w:rPr>
            </w:pPr>
            <w:r>
              <w:rPr>
                <w:rFonts w:hint="eastAsia" w:ascii="宋体" w:hAnsi="宋体"/>
                <w:szCs w:val="21"/>
              </w:rPr>
              <w:t>1</w:t>
            </w:r>
          </w:p>
        </w:tc>
        <w:tc>
          <w:tcPr>
            <w:tcW w:w="617" w:type="dxa"/>
            <w:vAlign w:val="center"/>
          </w:tcPr>
          <w:p>
            <w:pPr>
              <w:spacing w:line="440" w:lineRule="exact"/>
              <w:jc w:val="center"/>
              <w:rPr>
                <w:rFonts w:ascii="宋体" w:hAnsi="宋体"/>
                <w:szCs w:val="21"/>
              </w:rPr>
            </w:pPr>
            <w:r>
              <w:rPr>
                <w:rFonts w:hint="eastAsia" w:ascii="宋体" w:hAnsi="宋体"/>
                <w:szCs w:val="21"/>
              </w:rPr>
              <w:t>2</w:t>
            </w:r>
          </w:p>
        </w:tc>
        <w:tc>
          <w:tcPr>
            <w:tcW w:w="617" w:type="dxa"/>
            <w:vAlign w:val="center"/>
          </w:tcPr>
          <w:p>
            <w:pPr>
              <w:spacing w:line="440" w:lineRule="exact"/>
              <w:jc w:val="center"/>
              <w:rPr>
                <w:rFonts w:ascii="宋体" w:hAnsi="宋体"/>
                <w:szCs w:val="21"/>
              </w:rPr>
            </w:pPr>
            <w:r>
              <w:rPr>
                <w:rFonts w:hint="eastAsia" w:ascii="宋体" w:hAnsi="宋体"/>
                <w:szCs w:val="21"/>
              </w:rPr>
              <w:t>3</w:t>
            </w:r>
          </w:p>
        </w:tc>
        <w:tc>
          <w:tcPr>
            <w:tcW w:w="618" w:type="dxa"/>
            <w:vAlign w:val="center"/>
          </w:tcPr>
          <w:p>
            <w:pPr>
              <w:spacing w:line="440" w:lineRule="exact"/>
              <w:jc w:val="center"/>
              <w:rPr>
                <w:rFonts w:ascii="宋体" w:hAnsi="宋体"/>
                <w:szCs w:val="21"/>
              </w:rPr>
            </w:pPr>
            <w:r>
              <w:rPr>
                <w:rFonts w:hint="eastAsia" w:ascii="宋体" w:hAnsi="宋体"/>
                <w:szCs w:val="21"/>
              </w:rPr>
              <w:t>4</w:t>
            </w:r>
          </w:p>
        </w:tc>
        <w:tc>
          <w:tcPr>
            <w:tcW w:w="617" w:type="dxa"/>
            <w:vAlign w:val="center"/>
          </w:tcPr>
          <w:p>
            <w:pPr>
              <w:spacing w:line="440" w:lineRule="exact"/>
              <w:jc w:val="center"/>
              <w:rPr>
                <w:rFonts w:ascii="宋体" w:hAnsi="宋体"/>
                <w:szCs w:val="21"/>
              </w:rPr>
            </w:pPr>
            <w:r>
              <w:rPr>
                <w:rFonts w:hint="eastAsia" w:ascii="宋体" w:hAnsi="宋体"/>
                <w:szCs w:val="21"/>
              </w:rPr>
              <w:t>5</w:t>
            </w:r>
          </w:p>
        </w:tc>
        <w:tc>
          <w:tcPr>
            <w:tcW w:w="617" w:type="dxa"/>
            <w:vAlign w:val="center"/>
          </w:tcPr>
          <w:p>
            <w:pPr>
              <w:spacing w:line="440" w:lineRule="exact"/>
              <w:jc w:val="center"/>
              <w:rPr>
                <w:rFonts w:ascii="宋体" w:hAnsi="宋体"/>
                <w:szCs w:val="21"/>
              </w:rPr>
            </w:pPr>
            <w:r>
              <w:rPr>
                <w:rFonts w:hint="eastAsia" w:ascii="宋体" w:hAnsi="宋体"/>
                <w:szCs w:val="21"/>
              </w:rPr>
              <w:t>6</w:t>
            </w:r>
          </w:p>
        </w:tc>
        <w:tc>
          <w:tcPr>
            <w:tcW w:w="618" w:type="dxa"/>
            <w:vAlign w:val="center"/>
          </w:tcPr>
          <w:p>
            <w:pPr>
              <w:spacing w:line="440" w:lineRule="exact"/>
              <w:jc w:val="center"/>
              <w:rPr>
                <w:rFonts w:ascii="宋体" w:hAnsi="宋体"/>
                <w:szCs w:val="21"/>
              </w:rPr>
            </w:pPr>
            <w:r>
              <w:rPr>
                <w:rFonts w:hint="eastAsia" w:ascii="宋体" w:hAnsi="宋体"/>
                <w:szCs w:val="21"/>
              </w:rPr>
              <w:t>7</w:t>
            </w:r>
          </w:p>
        </w:tc>
        <w:tc>
          <w:tcPr>
            <w:tcW w:w="617" w:type="dxa"/>
            <w:vAlign w:val="center"/>
          </w:tcPr>
          <w:p>
            <w:pPr>
              <w:spacing w:line="440" w:lineRule="exact"/>
              <w:jc w:val="center"/>
              <w:rPr>
                <w:rFonts w:ascii="宋体" w:hAnsi="宋体"/>
                <w:szCs w:val="21"/>
              </w:rPr>
            </w:pPr>
            <w:r>
              <w:rPr>
                <w:rFonts w:hint="eastAsia" w:ascii="宋体" w:hAnsi="宋体"/>
                <w:szCs w:val="21"/>
              </w:rPr>
              <w:t>8</w:t>
            </w:r>
          </w:p>
        </w:tc>
        <w:tc>
          <w:tcPr>
            <w:tcW w:w="539" w:type="dxa"/>
            <w:vAlign w:val="center"/>
          </w:tcPr>
          <w:p>
            <w:pPr>
              <w:spacing w:line="440" w:lineRule="exact"/>
              <w:jc w:val="center"/>
              <w:rPr>
                <w:rFonts w:ascii="宋体" w:hAnsi="宋体"/>
                <w:szCs w:val="21"/>
              </w:rPr>
            </w:pPr>
            <w:r>
              <w:rPr>
                <w:rFonts w:hint="eastAsia" w:ascii="宋体" w:hAnsi="宋体"/>
                <w:szCs w:val="21"/>
              </w:rPr>
              <w:t>9</w:t>
            </w:r>
          </w:p>
        </w:tc>
        <w:tc>
          <w:tcPr>
            <w:tcW w:w="696" w:type="dxa"/>
            <w:vAlign w:val="center"/>
          </w:tcPr>
          <w:p>
            <w:pPr>
              <w:spacing w:line="440" w:lineRule="exact"/>
              <w:jc w:val="center"/>
              <w:rPr>
                <w:rFonts w:ascii="宋体" w:hAnsi="宋体"/>
                <w:szCs w:val="21"/>
              </w:rPr>
            </w:pPr>
            <w:r>
              <w:rPr>
                <w:rFonts w:hint="eastAsia" w:ascii="宋体" w:hAnsi="宋体"/>
                <w:szCs w:val="21"/>
              </w:rPr>
              <w:t>10</w:t>
            </w:r>
          </w:p>
        </w:tc>
        <w:tc>
          <w:tcPr>
            <w:tcW w:w="617" w:type="dxa"/>
            <w:vAlign w:val="center"/>
          </w:tcPr>
          <w:p>
            <w:pPr>
              <w:spacing w:line="440" w:lineRule="exact"/>
              <w:jc w:val="center"/>
              <w:rPr>
                <w:rFonts w:ascii="宋体" w:hAnsi="宋体"/>
                <w:szCs w:val="21"/>
              </w:rPr>
            </w:pPr>
            <w:r>
              <w:rPr>
                <w:rFonts w:hint="eastAsia" w:ascii="宋体" w:hAnsi="宋体"/>
                <w:szCs w:val="21"/>
              </w:rPr>
              <w:t>11</w:t>
            </w:r>
          </w:p>
        </w:tc>
        <w:tc>
          <w:tcPr>
            <w:tcW w:w="617" w:type="dxa"/>
            <w:vAlign w:val="center"/>
          </w:tcPr>
          <w:p>
            <w:pPr>
              <w:spacing w:line="440" w:lineRule="exact"/>
              <w:jc w:val="center"/>
              <w:rPr>
                <w:rFonts w:ascii="宋体" w:hAnsi="宋体"/>
                <w:szCs w:val="21"/>
              </w:rPr>
            </w:pPr>
            <w:r>
              <w:rPr>
                <w:rFonts w:hint="eastAsia" w:ascii="宋体" w:hAnsi="宋体"/>
                <w:szCs w:val="21"/>
              </w:rPr>
              <w:t>12</w:t>
            </w:r>
          </w:p>
        </w:tc>
        <w:tc>
          <w:tcPr>
            <w:tcW w:w="617" w:type="dxa"/>
            <w:vAlign w:val="center"/>
          </w:tcPr>
          <w:p>
            <w:pPr>
              <w:spacing w:line="440" w:lineRule="exact"/>
              <w:jc w:val="center"/>
              <w:rPr>
                <w:rFonts w:ascii="宋体" w:hAnsi="宋体"/>
                <w:szCs w:val="21"/>
              </w:rPr>
            </w:pPr>
            <w:r>
              <w:rPr>
                <w:rFonts w:hint="eastAsia" w:ascii="宋体" w:hAnsi="宋体"/>
                <w:szCs w:val="21"/>
              </w:rPr>
              <w:t>13</w:t>
            </w:r>
          </w:p>
        </w:tc>
        <w:tc>
          <w:tcPr>
            <w:tcW w:w="618" w:type="dxa"/>
            <w:vAlign w:val="center"/>
          </w:tcPr>
          <w:p>
            <w:pPr>
              <w:spacing w:line="440" w:lineRule="exact"/>
              <w:jc w:val="center"/>
              <w:rPr>
                <w:rFonts w:ascii="宋体" w:hAnsi="宋体"/>
                <w:szCs w:val="21"/>
              </w:rPr>
            </w:pPr>
            <w:r>
              <w:rPr>
                <w:rFonts w:hint="eastAsia" w:ascii="宋体" w:hAnsi="宋体"/>
                <w:szCs w:val="21"/>
              </w:rPr>
              <w:t>14</w:t>
            </w:r>
          </w:p>
        </w:tc>
        <w:tc>
          <w:tcPr>
            <w:tcW w:w="617" w:type="dxa"/>
            <w:vAlign w:val="center"/>
          </w:tcPr>
          <w:p>
            <w:pPr>
              <w:spacing w:line="440" w:lineRule="exact"/>
              <w:jc w:val="center"/>
              <w:rPr>
                <w:rFonts w:ascii="宋体" w:hAnsi="宋体"/>
                <w:szCs w:val="21"/>
              </w:rPr>
            </w:pPr>
            <w:r>
              <w:rPr>
                <w:rFonts w:hint="eastAsia" w:ascii="宋体" w:hAnsi="宋体"/>
                <w:szCs w:val="21"/>
              </w:rPr>
              <w:t>15</w:t>
            </w:r>
          </w:p>
        </w:tc>
        <w:tc>
          <w:tcPr>
            <w:tcW w:w="617" w:type="dxa"/>
            <w:vAlign w:val="center"/>
          </w:tcPr>
          <w:p>
            <w:pPr>
              <w:spacing w:line="440" w:lineRule="exact"/>
              <w:jc w:val="center"/>
              <w:rPr>
                <w:rFonts w:ascii="宋体" w:hAnsi="宋体"/>
                <w:szCs w:val="21"/>
              </w:rPr>
            </w:pPr>
            <w:r>
              <w:rPr>
                <w:rFonts w:hint="eastAsia" w:ascii="宋体" w:hAnsi="宋体"/>
                <w:szCs w:val="21"/>
              </w:rPr>
              <w:t>16</w:t>
            </w:r>
          </w:p>
        </w:tc>
        <w:tc>
          <w:tcPr>
            <w:tcW w:w="618" w:type="dxa"/>
            <w:vAlign w:val="center"/>
          </w:tcPr>
          <w:p>
            <w:pPr>
              <w:spacing w:line="440" w:lineRule="exact"/>
              <w:jc w:val="center"/>
              <w:rPr>
                <w:rFonts w:ascii="宋体" w:hAnsi="宋体"/>
                <w:szCs w:val="21"/>
              </w:rPr>
            </w:pPr>
            <w:r>
              <w:rPr>
                <w:rFonts w:hint="eastAsia" w:ascii="宋体" w:hAnsi="宋体"/>
                <w:szCs w:val="21"/>
              </w:rPr>
              <w:t>17</w:t>
            </w:r>
          </w:p>
        </w:tc>
        <w:tc>
          <w:tcPr>
            <w:tcW w:w="618" w:type="dxa"/>
            <w:vAlign w:val="center"/>
          </w:tcPr>
          <w:p>
            <w:pPr>
              <w:spacing w:line="440" w:lineRule="exact"/>
              <w:jc w:val="center"/>
              <w:rPr>
                <w:rFonts w:ascii="宋体" w:hAnsi="宋体"/>
                <w:szCs w:val="21"/>
              </w:rPr>
            </w:pPr>
            <w:r>
              <w:rPr>
                <w:rFonts w:hint="eastAsia" w:ascii="宋体" w:hAnsi="宋体"/>
                <w:szCs w:val="21"/>
              </w:rPr>
              <w:t>18</w:t>
            </w:r>
          </w:p>
        </w:tc>
        <w:tc>
          <w:tcPr>
            <w:tcW w:w="602" w:type="dxa"/>
            <w:vAlign w:val="center"/>
          </w:tcPr>
          <w:p>
            <w:pPr>
              <w:spacing w:line="440" w:lineRule="exact"/>
              <w:jc w:val="center"/>
              <w:rPr>
                <w:rFonts w:ascii="宋体" w:hAnsi="宋体"/>
                <w:szCs w:val="21"/>
              </w:rPr>
            </w:pPr>
            <w:r>
              <w:rPr>
                <w:rFonts w:hint="eastAsia" w:ascii="宋体" w:hAnsi="宋体"/>
                <w:szCs w:val="21"/>
              </w:rPr>
              <w:t>19</w:t>
            </w:r>
          </w:p>
        </w:tc>
        <w:tc>
          <w:tcPr>
            <w:tcW w:w="709" w:type="dxa"/>
            <w:vAlign w:val="center"/>
          </w:tcPr>
          <w:p>
            <w:pPr>
              <w:spacing w:line="440" w:lineRule="exact"/>
              <w:jc w:val="center"/>
              <w:rPr>
                <w:rFonts w:ascii="宋体" w:hAnsi="宋体"/>
                <w:szCs w:val="21"/>
              </w:rPr>
            </w:pPr>
            <w:r>
              <w:rPr>
                <w:rFonts w:hint="eastAsia" w:ascii="宋体" w:hAnsi="宋体"/>
                <w:szCs w:val="21"/>
              </w:rPr>
              <w:t>20</w:t>
            </w:r>
          </w:p>
        </w:tc>
        <w:tc>
          <w:tcPr>
            <w:tcW w:w="653" w:type="dxa"/>
            <w:vAlign w:val="center"/>
          </w:tcPr>
          <w:p>
            <w:pPr>
              <w:spacing w:line="440" w:lineRule="exact"/>
              <w:jc w:val="center"/>
              <w:rPr>
                <w:rFonts w:ascii="宋体" w:hAnsi="宋体"/>
                <w:szCs w:val="21"/>
              </w:rPr>
            </w:pPr>
            <w:r>
              <w:rPr>
                <w:rFonts w:hint="eastAsia" w:ascii="宋体" w:hAnsi="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vAlign w:val="center"/>
          </w:tcPr>
          <w:p>
            <w:pPr>
              <w:spacing w:line="440" w:lineRule="exact"/>
              <w:jc w:val="center"/>
              <w:rPr>
                <w:rFonts w:ascii="宋体" w:hAnsi="宋体"/>
                <w:szCs w:val="21"/>
              </w:rPr>
            </w:pPr>
            <w:r>
              <w:rPr>
                <w:rFonts w:hint="eastAsia" w:ascii="宋体" w:hAnsi="宋体"/>
                <w:szCs w:val="21"/>
              </w:rPr>
              <w:t>一</w:t>
            </w:r>
          </w:p>
        </w:tc>
        <w:tc>
          <w:tcPr>
            <w:tcW w:w="617" w:type="dxa"/>
            <w:vAlign w:val="center"/>
          </w:tcPr>
          <w:p>
            <w:pPr>
              <w:spacing w:line="30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1852" w:type="dxa"/>
            <w:gridSpan w:val="3"/>
            <w:vAlign w:val="center"/>
          </w:tcPr>
          <w:p>
            <w:pPr>
              <w:spacing w:line="440" w:lineRule="exact"/>
              <w:jc w:val="center"/>
              <w:rPr>
                <w:rFonts w:ascii="宋体" w:hAnsi="宋体"/>
                <w:szCs w:val="21"/>
              </w:rPr>
            </w:pPr>
            <w:r>
              <w:rPr>
                <w:rFonts w:hint="eastAsia" w:ascii="宋体" w:hAnsi="宋体"/>
                <w:szCs w:val="21"/>
              </w:rPr>
              <w:t>军事技能训练</w:t>
            </w:r>
          </w:p>
          <w:p>
            <w:pPr>
              <w:spacing w:line="440" w:lineRule="exact"/>
              <w:jc w:val="center"/>
              <w:rPr>
                <w:rFonts w:ascii="宋体" w:hAnsi="宋体"/>
                <w:szCs w:val="21"/>
              </w:rPr>
            </w:pPr>
            <w:r>
              <w:rPr>
                <w:rFonts w:hint="eastAsia" w:ascii="宋体" w:hAnsi="宋体"/>
                <w:szCs w:val="21"/>
              </w:rPr>
              <w:t>3周</w:t>
            </w:r>
          </w:p>
        </w:tc>
        <w:tc>
          <w:tcPr>
            <w:tcW w:w="8026" w:type="dxa"/>
            <w:gridSpan w:val="13"/>
            <w:vAlign w:val="center"/>
          </w:tcPr>
          <w:p>
            <w:pPr>
              <w:spacing w:line="440" w:lineRule="exact"/>
              <w:jc w:val="center"/>
              <w:rPr>
                <w:rFonts w:ascii="宋体" w:hAnsi="宋体"/>
                <w:szCs w:val="21"/>
              </w:rPr>
            </w:pPr>
            <w:r>
              <w:rPr>
                <w:rFonts w:hint="eastAsia" w:ascii="宋体" w:hAnsi="宋体"/>
                <w:szCs w:val="21"/>
              </w:rPr>
              <w:t>课堂教学13周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vAlign w:val="center"/>
          </w:tcPr>
          <w:p>
            <w:pPr>
              <w:spacing w:line="440" w:lineRule="exact"/>
              <w:jc w:val="center"/>
              <w:rPr>
                <w:rFonts w:ascii="宋体" w:hAnsi="宋体"/>
                <w:szCs w:val="21"/>
              </w:rPr>
            </w:pPr>
            <w:r>
              <w:rPr>
                <w:rFonts w:hint="eastAsia" w:ascii="宋体" w:hAnsi="宋体"/>
                <w:szCs w:val="21"/>
              </w:rPr>
              <w:t>二</w:t>
            </w:r>
          </w:p>
        </w:tc>
        <w:tc>
          <w:tcPr>
            <w:tcW w:w="11112" w:type="dxa"/>
            <w:gridSpan w:val="18"/>
            <w:vAlign w:val="center"/>
          </w:tcPr>
          <w:p>
            <w:pPr>
              <w:spacing w:line="440" w:lineRule="exact"/>
              <w:jc w:val="center"/>
              <w:rPr>
                <w:rFonts w:ascii="宋体" w:hAnsi="宋体"/>
                <w:szCs w:val="21"/>
              </w:rPr>
            </w:pPr>
            <w:r>
              <w:rPr>
                <w:rFonts w:hint="eastAsia" w:ascii="宋体" w:hAnsi="宋体"/>
                <w:szCs w:val="21"/>
              </w:rPr>
              <w:t>课堂教学18周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vAlign w:val="center"/>
          </w:tcPr>
          <w:p>
            <w:pPr>
              <w:spacing w:line="440" w:lineRule="exact"/>
              <w:jc w:val="center"/>
              <w:rPr>
                <w:rFonts w:ascii="宋体" w:hAnsi="宋体"/>
                <w:szCs w:val="21"/>
              </w:rPr>
            </w:pPr>
            <w:r>
              <w:rPr>
                <w:rFonts w:hint="eastAsia" w:ascii="宋体" w:hAnsi="宋体"/>
                <w:szCs w:val="21"/>
              </w:rPr>
              <w:t>三</w:t>
            </w:r>
          </w:p>
        </w:tc>
        <w:tc>
          <w:tcPr>
            <w:tcW w:w="11112" w:type="dxa"/>
            <w:gridSpan w:val="18"/>
            <w:vAlign w:val="center"/>
          </w:tcPr>
          <w:p>
            <w:pPr>
              <w:spacing w:line="440" w:lineRule="exact"/>
              <w:jc w:val="center"/>
              <w:rPr>
                <w:rFonts w:ascii="宋体" w:hAnsi="宋体"/>
                <w:szCs w:val="21"/>
              </w:rPr>
            </w:pPr>
            <w:r>
              <w:rPr>
                <w:rFonts w:hint="eastAsia" w:ascii="宋体" w:hAnsi="宋体"/>
                <w:szCs w:val="21"/>
              </w:rPr>
              <w:t>课堂教学18周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hint="default" w:ascii="宋体" w:hAnsi="宋体" w:eastAsia="宋体"/>
                <w:szCs w:val="21"/>
                <w:lang w:val="en-US" w:eastAsia="zh-CN"/>
              </w:rPr>
            </w:pPr>
            <w:r>
              <w:rPr>
                <w:rFonts w:hint="eastAsia" w:ascii="宋体" w:hAnsi="宋体"/>
                <w:szCs w:val="21"/>
                <w:lang w:val="en-US" w:eastAsia="zh-CN"/>
              </w:rPr>
              <w:t>物业会计实践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vAlign w:val="center"/>
          </w:tcPr>
          <w:p>
            <w:pPr>
              <w:spacing w:line="440" w:lineRule="exact"/>
              <w:jc w:val="center"/>
              <w:rPr>
                <w:rFonts w:ascii="宋体" w:hAnsi="宋体"/>
                <w:szCs w:val="21"/>
              </w:rPr>
            </w:pPr>
            <w:r>
              <w:rPr>
                <w:rFonts w:hint="eastAsia" w:ascii="宋体" w:hAnsi="宋体"/>
                <w:szCs w:val="21"/>
              </w:rPr>
              <w:t>四</w:t>
            </w:r>
          </w:p>
        </w:tc>
        <w:tc>
          <w:tcPr>
            <w:tcW w:w="7407" w:type="dxa"/>
            <w:gridSpan w:val="12"/>
            <w:vAlign w:val="center"/>
          </w:tcPr>
          <w:p>
            <w:pPr>
              <w:spacing w:line="440" w:lineRule="exact"/>
              <w:jc w:val="center"/>
              <w:rPr>
                <w:rFonts w:ascii="宋体" w:hAnsi="宋体"/>
                <w:szCs w:val="21"/>
              </w:rPr>
            </w:pPr>
            <w:r>
              <w:rPr>
                <w:rFonts w:hint="eastAsia" w:ascii="宋体" w:hAnsi="宋体"/>
                <w:szCs w:val="21"/>
              </w:rPr>
              <w:t>课堂教学12周</w:t>
            </w:r>
          </w:p>
        </w:tc>
        <w:tc>
          <w:tcPr>
            <w:tcW w:w="1852" w:type="dxa"/>
            <w:gridSpan w:val="3"/>
            <w:vAlign w:val="center"/>
          </w:tcPr>
          <w:p>
            <w:pPr>
              <w:spacing w:line="440" w:lineRule="exact"/>
              <w:jc w:val="center"/>
              <w:rPr>
                <w:rFonts w:ascii="宋体" w:hAnsi="宋体"/>
                <w:szCs w:val="21"/>
              </w:rPr>
            </w:pPr>
            <w:r>
              <w:rPr>
                <w:rFonts w:hint="eastAsia" w:ascii="宋体" w:hAnsi="宋体"/>
                <w:szCs w:val="21"/>
              </w:rPr>
              <w:t>物业综合技能实训(3周）</w:t>
            </w:r>
          </w:p>
        </w:tc>
        <w:tc>
          <w:tcPr>
            <w:tcW w:w="1853" w:type="dxa"/>
            <w:gridSpan w:val="3"/>
            <w:vAlign w:val="center"/>
          </w:tcPr>
          <w:p>
            <w:pPr>
              <w:spacing w:line="440" w:lineRule="exact"/>
              <w:rPr>
                <w:rFonts w:ascii="宋体" w:hAnsi="宋体"/>
                <w:szCs w:val="21"/>
              </w:rPr>
            </w:pPr>
            <w:r>
              <w:rPr>
                <w:rFonts w:hint="eastAsia" w:ascii="宋体" w:hAnsi="宋体"/>
                <w:szCs w:val="21"/>
              </w:rPr>
              <w:t>GYB、SYB培训3周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vAlign w:val="center"/>
          </w:tcPr>
          <w:p>
            <w:pPr>
              <w:spacing w:line="440" w:lineRule="exact"/>
              <w:jc w:val="center"/>
              <w:rPr>
                <w:rFonts w:ascii="宋体" w:hAnsi="宋体"/>
                <w:szCs w:val="21"/>
              </w:rPr>
            </w:pPr>
            <w:r>
              <w:rPr>
                <w:rFonts w:hint="eastAsia" w:ascii="宋体" w:hAnsi="宋体"/>
                <w:szCs w:val="21"/>
              </w:rPr>
              <w:t>五</w:t>
            </w:r>
          </w:p>
        </w:tc>
        <w:tc>
          <w:tcPr>
            <w:tcW w:w="13076" w:type="dxa"/>
            <w:gridSpan w:val="21"/>
            <w:vAlign w:val="center"/>
          </w:tcPr>
          <w:p>
            <w:pPr>
              <w:spacing w:line="440" w:lineRule="exact"/>
              <w:jc w:val="both"/>
              <w:rPr>
                <w:rFonts w:ascii="宋体" w:hAnsi="宋体"/>
                <w:szCs w:val="21"/>
              </w:rPr>
            </w:pPr>
            <w:r>
              <w:rPr>
                <w:rFonts w:hint="eastAsia" w:ascii="宋体" w:hAnsi="宋体"/>
                <w:szCs w:val="21"/>
                <w:lang w:val="en-US" w:eastAsia="zh-CN"/>
              </w:rPr>
              <w:t>专业见习2周，</w:t>
            </w:r>
            <w:r>
              <w:rPr>
                <w:rFonts w:hint="eastAsia" w:ascii="宋体" w:hAnsi="宋体"/>
                <w:szCs w:val="21"/>
              </w:rPr>
              <w:t>岗位实习</w:t>
            </w:r>
            <w:r>
              <w:rPr>
                <w:rFonts w:hint="eastAsia" w:ascii="宋体" w:hAnsi="宋体"/>
                <w:szCs w:val="21"/>
                <w:lang w:val="en-US" w:eastAsia="zh-CN"/>
              </w:rPr>
              <w:t>19</w:t>
            </w:r>
            <w:r>
              <w:rPr>
                <w:rFonts w:hint="eastAsia" w:ascii="宋体" w:hAnsi="宋体"/>
                <w:szCs w:val="21"/>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3" w:type="dxa"/>
            <w:vAlign w:val="center"/>
          </w:tcPr>
          <w:p>
            <w:pPr>
              <w:spacing w:line="440" w:lineRule="exact"/>
              <w:jc w:val="center"/>
              <w:rPr>
                <w:rFonts w:ascii="宋体" w:hAnsi="宋体"/>
                <w:szCs w:val="21"/>
              </w:rPr>
            </w:pPr>
            <w:r>
              <w:rPr>
                <w:rFonts w:hint="eastAsia" w:ascii="宋体" w:hAnsi="宋体"/>
                <w:szCs w:val="21"/>
              </w:rPr>
              <w:t>六</w:t>
            </w:r>
          </w:p>
        </w:tc>
        <w:tc>
          <w:tcPr>
            <w:tcW w:w="5477" w:type="dxa"/>
            <w:gridSpan w:val="9"/>
            <w:vAlign w:val="center"/>
          </w:tcPr>
          <w:p>
            <w:pPr>
              <w:spacing w:line="440" w:lineRule="exact"/>
              <w:jc w:val="center"/>
              <w:rPr>
                <w:rFonts w:ascii="宋体" w:hAnsi="宋体"/>
                <w:szCs w:val="21"/>
              </w:rPr>
            </w:pPr>
            <w:r>
              <w:rPr>
                <w:rFonts w:hint="eastAsia" w:ascii="宋体" w:hAnsi="宋体"/>
                <w:szCs w:val="21"/>
              </w:rPr>
              <w:t>岗位实习</w:t>
            </w:r>
            <w:r>
              <w:rPr>
                <w:rFonts w:hint="eastAsia" w:ascii="宋体" w:hAnsi="宋体"/>
                <w:szCs w:val="21"/>
                <w:lang w:val="en-US" w:eastAsia="zh-CN"/>
              </w:rPr>
              <w:t>9</w:t>
            </w:r>
            <w:r>
              <w:rPr>
                <w:rFonts w:hint="eastAsia" w:ascii="宋体" w:hAnsi="宋体"/>
                <w:szCs w:val="21"/>
              </w:rPr>
              <w:t>周</w:t>
            </w:r>
          </w:p>
        </w:tc>
        <w:tc>
          <w:tcPr>
            <w:tcW w:w="1313" w:type="dxa"/>
            <w:gridSpan w:val="2"/>
            <w:vAlign w:val="center"/>
          </w:tcPr>
          <w:p>
            <w:pPr>
              <w:spacing w:line="440" w:lineRule="exact"/>
              <w:jc w:val="center"/>
              <w:rPr>
                <w:rFonts w:ascii="宋体" w:hAnsi="宋体"/>
                <w:szCs w:val="21"/>
              </w:rPr>
            </w:pPr>
            <w:r>
              <w:rPr>
                <w:rFonts w:hint="eastAsia" w:ascii="宋体" w:hAnsi="宋体"/>
                <w:szCs w:val="21"/>
              </w:rPr>
              <w:t>毕业设计(专业综合能力达标测试）</w:t>
            </w: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02" w:type="dxa"/>
            <w:vAlign w:val="center"/>
          </w:tcPr>
          <w:p>
            <w:pPr>
              <w:spacing w:line="440" w:lineRule="exact"/>
              <w:jc w:val="center"/>
              <w:rPr>
                <w:rFonts w:ascii="宋体" w:hAnsi="宋体"/>
                <w:szCs w:val="21"/>
              </w:rPr>
            </w:pPr>
          </w:p>
        </w:tc>
        <w:tc>
          <w:tcPr>
            <w:tcW w:w="709" w:type="dxa"/>
            <w:vAlign w:val="center"/>
          </w:tcPr>
          <w:p>
            <w:pPr>
              <w:spacing w:line="440" w:lineRule="exact"/>
              <w:jc w:val="center"/>
              <w:rPr>
                <w:rFonts w:ascii="宋体" w:hAnsi="宋体"/>
                <w:szCs w:val="21"/>
              </w:rPr>
            </w:pPr>
          </w:p>
        </w:tc>
        <w:tc>
          <w:tcPr>
            <w:tcW w:w="653" w:type="dxa"/>
          </w:tcPr>
          <w:p>
            <w:pPr>
              <w:spacing w:line="440" w:lineRule="exact"/>
              <w:jc w:val="center"/>
              <w:rPr>
                <w:rFonts w:ascii="宋体" w:hAnsi="宋体"/>
                <w:szCs w:val="21"/>
              </w:rPr>
            </w:pPr>
          </w:p>
        </w:tc>
      </w:tr>
    </w:tbl>
    <w:p>
      <w:pPr>
        <w:pStyle w:val="2"/>
        <w:ind w:firstLine="0" w:firstLineChars="0"/>
      </w:pPr>
    </w:p>
    <w:p>
      <w:pPr>
        <w:spacing w:line="440" w:lineRule="exact"/>
        <w:rPr>
          <w:rFonts w:ascii="宋体" w:hAnsi="宋体"/>
          <w:sz w:val="24"/>
        </w:rPr>
      </w:pPr>
      <w:r>
        <w:rPr>
          <w:rFonts w:hint="eastAsia" w:ascii="宋体" w:hAnsi="宋体"/>
          <w:sz w:val="24"/>
        </w:rPr>
        <w:t xml:space="preserve">  </w:t>
      </w:r>
    </w:p>
    <w:p>
      <w:pPr>
        <w:spacing w:line="440" w:lineRule="exact"/>
        <w:jc w:val="center"/>
        <w:rPr>
          <w:rFonts w:ascii="宋体" w:hAnsi="宋体"/>
          <w:b/>
          <w:sz w:val="24"/>
        </w:rPr>
      </w:pPr>
      <w:r>
        <w:rPr>
          <w:rFonts w:hint="eastAsia" w:ascii="宋体" w:hAnsi="宋体"/>
          <w:b/>
          <w:sz w:val="24"/>
        </w:rPr>
        <w:t>教学进程安排表</w:t>
      </w:r>
    </w:p>
    <w:tbl>
      <w:tblPr>
        <w:tblStyle w:val="11"/>
        <w:tblpPr w:leftFromText="180" w:rightFromText="180" w:vertAnchor="text" w:horzAnchor="page" w:tblpX="1308" w:tblpY="96"/>
        <w:tblOverlap w:val="never"/>
        <w:tblW w:w="14425" w:type="dxa"/>
        <w:tblInd w:w="0" w:type="dxa"/>
        <w:tblLayout w:type="fixed"/>
        <w:tblCellMar>
          <w:top w:w="0" w:type="dxa"/>
          <w:left w:w="108" w:type="dxa"/>
          <w:bottom w:w="0" w:type="dxa"/>
          <w:right w:w="108" w:type="dxa"/>
        </w:tblCellMar>
      </w:tblPr>
      <w:tblGrid>
        <w:gridCol w:w="571"/>
        <w:gridCol w:w="712"/>
        <w:gridCol w:w="841"/>
        <w:gridCol w:w="4365"/>
        <w:gridCol w:w="870"/>
        <w:gridCol w:w="514"/>
        <w:gridCol w:w="616"/>
        <w:gridCol w:w="634"/>
        <w:gridCol w:w="650"/>
        <w:gridCol w:w="708"/>
        <w:gridCol w:w="542"/>
        <w:gridCol w:w="567"/>
        <w:gridCol w:w="567"/>
        <w:gridCol w:w="1276"/>
        <w:gridCol w:w="425"/>
        <w:gridCol w:w="567"/>
      </w:tblGrid>
      <w:tr>
        <w:tblPrEx>
          <w:tblCellMar>
            <w:top w:w="0" w:type="dxa"/>
            <w:left w:w="108" w:type="dxa"/>
            <w:bottom w:w="0" w:type="dxa"/>
            <w:right w:w="108" w:type="dxa"/>
          </w:tblCellMar>
        </w:tblPrEx>
        <w:trPr>
          <w:trHeight w:val="90" w:hRule="atLeast"/>
        </w:trPr>
        <w:tc>
          <w:tcPr>
            <w:tcW w:w="571"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bookmarkStart w:id="2" w:name="_GoBack"/>
            <w:r>
              <w:rPr>
                <w:b/>
                <w:color w:val="auto"/>
                <w:kern w:val="0"/>
                <w:sz w:val="18"/>
                <w:szCs w:val="18"/>
              </w:rPr>
              <w:t>序号</w:t>
            </w:r>
          </w:p>
        </w:tc>
        <w:tc>
          <w:tcPr>
            <w:tcW w:w="712"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w:t>
            </w:r>
          </w:p>
          <w:p>
            <w:pPr>
              <w:jc w:val="center"/>
              <w:rPr>
                <w:b/>
                <w:color w:val="auto"/>
                <w:kern w:val="0"/>
                <w:sz w:val="18"/>
                <w:szCs w:val="18"/>
              </w:rPr>
            </w:pPr>
            <w:r>
              <w:rPr>
                <w:b/>
                <w:color w:val="auto"/>
                <w:kern w:val="0"/>
                <w:sz w:val="18"/>
                <w:szCs w:val="18"/>
              </w:rPr>
              <w:t>类别</w:t>
            </w:r>
          </w:p>
        </w:tc>
        <w:tc>
          <w:tcPr>
            <w:tcW w:w="841"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课程</w:t>
            </w:r>
          </w:p>
          <w:p>
            <w:pPr>
              <w:jc w:val="center"/>
              <w:rPr>
                <w:b/>
                <w:color w:val="auto"/>
                <w:kern w:val="0"/>
                <w:sz w:val="18"/>
                <w:szCs w:val="18"/>
              </w:rPr>
            </w:pPr>
            <w:r>
              <w:rPr>
                <w:rFonts w:hint="eastAsia"/>
                <w:b/>
                <w:color w:val="auto"/>
                <w:kern w:val="0"/>
                <w:sz w:val="18"/>
                <w:szCs w:val="18"/>
              </w:rPr>
              <w:t>代码</w:t>
            </w:r>
          </w:p>
        </w:tc>
        <w:tc>
          <w:tcPr>
            <w:tcW w:w="4365"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课程名称</w:t>
            </w:r>
          </w:p>
        </w:tc>
        <w:tc>
          <w:tcPr>
            <w:tcW w:w="870" w:type="dxa"/>
            <w:vMerge w:val="restart"/>
            <w:tcBorders>
              <w:top w:val="single" w:color="auto" w:sz="4" w:space="0"/>
              <w:left w:val="single" w:color="auto" w:sz="4" w:space="0"/>
              <w:right w:val="single" w:color="auto" w:sz="4" w:space="0"/>
            </w:tcBorders>
            <w:vAlign w:val="center"/>
          </w:tcPr>
          <w:p>
            <w:pPr>
              <w:jc w:val="center"/>
              <w:rPr>
                <w:color w:val="auto"/>
                <w:sz w:val="18"/>
                <w:szCs w:val="18"/>
              </w:rPr>
            </w:pPr>
            <w:r>
              <w:rPr>
                <w:b/>
                <w:color w:val="auto"/>
                <w:kern w:val="0"/>
                <w:sz w:val="18"/>
                <w:szCs w:val="18"/>
              </w:rPr>
              <w:t>学分</w:t>
            </w:r>
          </w:p>
        </w:tc>
        <w:tc>
          <w:tcPr>
            <w:tcW w:w="514"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考试</w:t>
            </w:r>
          </w:p>
        </w:tc>
        <w:tc>
          <w:tcPr>
            <w:tcW w:w="616"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考查</w:t>
            </w:r>
          </w:p>
        </w:tc>
        <w:tc>
          <w:tcPr>
            <w:tcW w:w="634"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总学时</w:t>
            </w:r>
          </w:p>
        </w:tc>
        <w:tc>
          <w:tcPr>
            <w:tcW w:w="5302" w:type="dxa"/>
            <w:gridSpan w:val="8"/>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学年、学期、学时</w:t>
            </w:r>
          </w:p>
        </w:tc>
      </w:tr>
      <w:tr>
        <w:tblPrEx>
          <w:tblCellMar>
            <w:top w:w="0" w:type="dxa"/>
            <w:left w:w="108" w:type="dxa"/>
            <w:bottom w:w="0" w:type="dxa"/>
            <w:right w:w="108" w:type="dxa"/>
          </w:tblCellMar>
        </w:tblPrEx>
        <w:trPr>
          <w:trHeight w:val="90" w:hRule="atLeast"/>
        </w:trPr>
        <w:tc>
          <w:tcPr>
            <w:tcW w:w="571" w:type="dxa"/>
            <w:vMerge w:val="continue"/>
            <w:tcBorders>
              <w:left w:val="single" w:color="auto" w:sz="4" w:space="0"/>
              <w:right w:val="single" w:color="auto" w:sz="4" w:space="0"/>
            </w:tcBorders>
            <w:vAlign w:val="center"/>
          </w:tcPr>
          <w:p>
            <w:pPr>
              <w:jc w:val="left"/>
              <w:rPr>
                <w:b/>
                <w:color w:val="auto"/>
                <w:kern w:val="0"/>
                <w:sz w:val="18"/>
                <w:szCs w:val="18"/>
              </w:rPr>
            </w:pPr>
          </w:p>
        </w:tc>
        <w:tc>
          <w:tcPr>
            <w:tcW w:w="712" w:type="dxa"/>
            <w:vMerge w:val="continue"/>
            <w:tcBorders>
              <w:left w:val="single" w:color="auto" w:sz="4" w:space="0"/>
              <w:right w:val="single" w:color="auto" w:sz="4" w:space="0"/>
            </w:tcBorders>
            <w:vAlign w:val="center"/>
          </w:tcPr>
          <w:p>
            <w:pPr>
              <w:jc w:val="left"/>
              <w:rPr>
                <w:b/>
                <w:color w:val="auto"/>
                <w:kern w:val="0"/>
                <w:sz w:val="18"/>
                <w:szCs w:val="18"/>
              </w:rPr>
            </w:pPr>
          </w:p>
        </w:tc>
        <w:tc>
          <w:tcPr>
            <w:tcW w:w="841" w:type="dxa"/>
            <w:vMerge w:val="continue"/>
            <w:tcBorders>
              <w:left w:val="single" w:color="auto" w:sz="4" w:space="0"/>
              <w:right w:val="single" w:color="auto" w:sz="4" w:space="0"/>
            </w:tcBorders>
          </w:tcPr>
          <w:p>
            <w:pPr>
              <w:jc w:val="left"/>
              <w:rPr>
                <w:b/>
                <w:color w:val="auto"/>
                <w:kern w:val="0"/>
                <w:sz w:val="18"/>
                <w:szCs w:val="18"/>
              </w:rPr>
            </w:pPr>
          </w:p>
        </w:tc>
        <w:tc>
          <w:tcPr>
            <w:tcW w:w="4365" w:type="dxa"/>
            <w:vMerge w:val="continue"/>
            <w:tcBorders>
              <w:left w:val="single" w:color="auto" w:sz="4" w:space="0"/>
              <w:right w:val="single" w:color="auto" w:sz="4" w:space="0"/>
            </w:tcBorders>
            <w:vAlign w:val="center"/>
          </w:tcPr>
          <w:p>
            <w:pPr>
              <w:jc w:val="left"/>
              <w:rPr>
                <w:b/>
                <w:color w:val="auto"/>
                <w:kern w:val="0"/>
                <w:sz w:val="18"/>
                <w:szCs w:val="18"/>
              </w:rPr>
            </w:pPr>
          </w:p>
        </w:tc>
        <w:tc>
          <w:tcPr>
            <w:tcW w:w="870" w:type="dxa"/>
            <w:vMerge w:val="continue"/>
            <w:tcBorders>
              <w:left w:val="single" w:color="auto" w:sz="4" w:space="0"/>
              <w:right w:val="single" w:color="auto" w:sz="4" w:space="0"/>
            </w:tcBorders>
            <w:vAlign w:val="center"/>
          </w:tcPr>
          <w:p>
            <w:pPr>
              <w:jc w:val="left"/>
              <w:rPr>
                <w:b/>
                <w:color w:val="auto"/>
                <w:kern w:val="0"/>
                <w:sz w:val="18"/>
                <w:szCs w:val="18"/>
              </w:rPr>
            </w:pPr>
          </w:p>
        </w:tc>
        <w:tc>
          <w:tcPr>
            <w:tcW w:w="514" w:type="dxa"/>
            <w:vMerge w:val="continue"/>
            <w:tcBorders>
              <w:left w:val="single" w:color="auto" w:sz="4" w:space="0"/>
              <w:right w:val="single" w:color="auto" w:sz="4" w:space="0"/>
            </w:tcBorders>
            <w:vAlign w:val="center"/>
          </w:tcPr>
          <w:p>
            <w:pPr>
              <w:jc w:val="left"/>
              <w:rPr>
                <w:b/>
                <w:color w:val="auto"/>
                <w:kern w:val="0"/>
                <w:sz w:val="18"/>
                <w:szCs w:val="18"/>
              </w:rPr>
            </w:pPr>
          </w:p>
        </w:tc>
        <w:tc>
          <w:tcPr>
            <w:tcW w:w="616" w:type="dxa"/>
            <w:vMerge w:val="continue"/>
            <w:tcBorders>
              <w:left w:val="single" w:color="auto" w:sz="4" w:space="0"/>
              <w:right w:val="single" w:color="auto" w:sz="4" w:space="0"/>
            </w:tcBorders>
            <w:vAlign w:val="center"/>
          </w:tcPr>
          <w:p>
            <w:pPr>
              <w:jc w:val="left"/>
              <w:rPr>
                <w:b/>
                <w:color w:val="auto"/>
                <w:kern w:val="0"/>
                <w:sz w:val="18"/>
                <w:szCs w:val="18"/>
              </w:rPr>
            </w:pPr>
          </w:p>
        </w:tc>
        <w:tc>
          <w:tcPr>
            <w:tcW w:w="634" w:type="dxa"/>
            <w:vMerge w:val="continue"/>
            <w:tcBorders>
              <w:left w:val="single" w:color="auto" w:sz="4" w:space="0"/>
              <w:right w:val="single" w:color="auto" w:sz="4" w:space="0"/>
            </w:tcBorders>
            <w:vAlign w:val="center"/>
          </w:tcPr>
          <w:p>
            <w:pPr>
              <w:jc w:val="left"/>
              <w:rPr>
                <w:b/>
                <w:color w:val="auto"/>
                <w:kern w:val="0"/>
                <w:sz w:val="18"/>
                <w:szCs w:val="18"/>
              </w:rPr>
            </w:pPr>
          </w:p>
        </w:tc>
        <w:tc>
          <w:tcPr>
            <w:tcW w:w="650"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理论</w:t>
            </w:r>
          </w:p>
        </w:tc>
        <w:tc>
          <w:tcPr>
            <w:tcW w:w="708"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实践</w:t>
            </w:r>
          </w:p>
        </w:tc>
        <w:tc>
          <w:tcPr>
            <w:tcW w:w="1109"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第一学年</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第二学年</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第三学年</w:t>
            </w:r>
          </w:p>
        </w:tc>
      </w:tr>
      <w:tr>
        <w:tblPrEx>
          <w:tblCellMar>
            <w:top w:w="0" w:type="dxa"/>
            <w:left w:w="108" w:type="dxa"/>
            <w:bottom w:w="0" w:type="dxa"/>
            <w:right w:w="108" w:type="dxa"/>
          </w:tblCellMar>
        </w:tblPrEx>
        <w:trPr>
          <w:trHeight w:val="90" w:hRule="atLeast"/>
        </w:trPr>
        <w:tc>
          <w:tcPr>
            <w:tcW w:w="571" w:type="dxa"/>
            <w:vMerge w:val="continue"/>
            <w:tcBorders>
              <w:left w:val="single" w:color="auto" w:sz="4" w:space="0"/>
              <w:right w:val="single" w:color="auto" w:sz="4" w:space="0"/>
            </w:tcBorders>
            <w:vAlign w:val="center"/>
          </w:tcPr>
          <w:p>
            <w:pPr>
              <w:jc w:val="left"/>
              <w:rPr>
                <w:b/>
                <w:color w:val="auto"/>
                <w:kern w:val="0"/>
                <w:sz w:val="18"/>
                <w:szCs w:val="18"/>
              </w:rPr>
            </w:pPr>
          </w:p>
        </w:tc>
        <w:tc>
          <w:tcPr>
            <w:tcW w:w="712" w:type="dxa"/>
            <w:vMerge w:val="continue"/>
            <w:tcBorders>
              <w:left w:val="single" w:color="auto" w:sz="4" w:space="0"/>
              <w:right w:val="single" w:color="auto" w:sz="4" w:space="0"/>
            </w:tcBorders>
            <w:vAlign w:val="center"/>
          </w:tcPr>
          <w:p>
            <w:pPr>
              <w:jc w:val="left"/>
              <w:rPr>
                <w:b/>
                <w:color w:val="auto"/>
                <w:kern w:val="0"/>
                <w:sz w:val="18"/>
                <w:szCs w:val="18"/>
              </w:rPr>
            </w:pPr>
          </w:p>
        </w:tc>
        <w:tc>
          <w:tcPr>
            <w:tcW w:w="841" w:type="dxa"/>
            <w:vMerge w:val="continue"/>
            <w:tcBorders>
              <w:left w:val="single" w:color="auto" w:sz="4" w:space="0"/>
              <w:right w:val="single" w:color="auto" w:sz="4" w:space="0"/>
            </w:tcBorders>
          </w:tcPr>
          <w:p>
            <w:pPr>
              <w:jc w:val="left"/>
              <w:rPr>
                <w:b/>
                <w:color w:val="auto"/>
                <w:kern w:val="0"/>
                <w:sz w:val="18"/>
                <w:szCs w:val="18"/>
              </w:rPr>
            </w:pPr>
          </w:p>
        </w:tc>
        <w:tc>
          <w:tcPr>
            <w:tcW w:w="4365" w:type="dxa"/>
            <w:vMerge w:val="continue"/>
            <w:tcBorders>
              <w:left w:val="single" w:color="auto" w:sz="4" w:space="0"/>
              <w:right w:val="single" w:color="auto" w:sz="4" w:space="0"/>
            </w:tcBorders>
            <w:vAlign w:val="center"/>
          </w:tcPr>
          <w:p>
            <w:pPr>
              <w:jc w:val="left"/>
              <w:rPr>
                <w:b/>
                <w:color w:val="auto"/>
                <w:kern w:val="0"/>
                <w:sz w:val="18"/>
                <w:szCs w:val="18"/>
              </w:rPr>
            </w:pPr>
          </w:p>
        </w:tc>
        <w:tc>
          <w:tcPr>
            <w:tcW w:w="870" w:type="dxa"/>
            <w:vMerge w:val="continue"/>
            <w:tcBorders>
              <w:left w:val="single" w:color="auto" w:sz="4" w:space="0"/>
              <w:right w:val="single" w:color="auto" w:sz="4" w:space="0"/>
            </w:tcBorders>
            <w:vAlign w:val="center"/>
          </w:tcPr>
          <w:p>
            <w:pPr>
              <w:jc w:val="left"/>
              <w:rPr>
                <w:b/>
                <w:color w:val="auto"/>
                <w:kern w:val="0"/>
                <w:sz w:val="18"/>
                <w:szCs w:val="18"/>
              </w:rPr>
            </w:pPr>
          </w:p>
        </w:tc>
        <w:tc>
          <w:tcPr>
            <w:tcW w:w="514" w:type="dxa"/>
            <w:vMerge w:val="continue"/>
            <w:tcBorders>
              <w:left w:val="single" w:color="auto" w:sz="4" w:space="0"/>
              <w:right w:val="single" w:color="auto" w:sz="4" w:space="0"/>
            </w:tcBorders>
            <w:vAlign w:val="center"/>
          </w:tcPr>
          <w:p>
            <w:pPr>
              <w:jc w:val="left"/>
              <w:rPr>
                <w:b/>
                <w:color w:val="auto"/>
                <w:kern w:val="0"/>
                <w:sz w:val="18"/>
                <w:szCs w:val="18"/>
              </w:rPr>
            </w:pPr>
          </w:p>
        </w:tc>
        <w:tc>
          <w:tcPr>
            <w:tcW w:w="616" w:type="dxa"/>
            <w:vMerge w:val="continue"/>
            <w:tcBorders>
              <w:left w:val="single" w:color="auto" w:sz="4" w:space="0"/>
              <w:right w:val="single" w:color="auto" w:sz="4" w:space="0"/>
            </w:tcBorders>
            <w:vAlign w:val="center"/>
          </w:tcPr>
          <w:p>
            <w:pPr>
              <w:jc w:val="left"/>
              <w:rPr>
                <w:b/>
                <w:color w:val="auto"/>
                <w:kern w:val="0"/>
                <w:sz w:val="18"/>
                <w:szCs w:val="18"/>
              </w:rPr>
            </w:pPr>
          </w:p>
        </w:tc>
        <w:tc>
          <w:tcPr>
            <w:tcW w:w="634" w:type="dxa"/>
            <w:vMerge w:val="continue"/>
            <w:tcBorders>
              <w:left w:val="single" w:color="auto" w:sz="4" w:space="0"/>
              <w:right w:val="single" w:color="auto" w:sz="4" w:space="0"/>
            </w:tcBorders>
            <w:vAlign w:val="center"/>
          </w:tcPr>
          <w:p>
            <w:pPr>
              <w:jc w:val="left"/>
              <w:rPr>
                <w:b/>
                <w:color w:val="auto"/>
                <w:kern w:val="0"/>
                <w:sz w:val="18"/>
                <w:szCs w:val="18"/>
              </w:rPr>
            </w:pPr>
          </w:p>
        </w:tc>
        <w:tc>
          <w:tcPr>
            <w:tcW w:w="650" w:type="dxa"/>
            <w:vMerge w:val="continue"/>
            <w:tcBorders>
              <w:left w:val="single" w:color="auto" w:sz="4" w:space="0"/>
              <w:right w:val="single" w:color="auto" w:sz="4" w:space="0"/>
            </w:tcBorders>
            <w:vAlign w:val="center"/>
          </w:tcPr>
          <w:p>
            <w:pPr>
              <w:jc w:val="left"/>
              <w:rPr>
                <w:b/>
                <w:color w:val="auto"/>
                <w:kern w:val="0"/>
                <w:sz w:val="18"/>
                <w:szCs w:val="18"/>
              </w:rPr>
            </w:pPr>
          </w:p>
        </w:tc>
        <w:tc>
          <w:tcPr>
            <w:tcW w:w="708" w:type="dxa"/>
            <w:vMerge w:val="continue"/>
            <w:tcBorders>
              <w:left w:val="single" w:color="auto" w:sz="4" w:space="0"/>
              <w:right w:val="single" w:color="auto" w:sz="4" w:space="0"/>
            </w:tcBorders>
            <w:vAlign w:val="center"/>
          </w:tcPr>
          <w:p>
            <w:pPr>
              <w:jc w:val="left"/>
              <w:rPr>
                <w:b/>
                <w:color w:val="auto"/>
                <w:kern w:val="0"/>
                <w:sz w:val="18"/>
                <w:szCs w:val="18"/>
              </w:rPr>
            </w:pP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1</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3</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5</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6</w:t>
            </w:r>
          </w:p>
        </w:tc>
      </w:tr>
      <w:tr>
        <w:tblPrEx>
          <w:tblCellMar>
            <w:top w:w="0" w:type="dxa"/>
            <w:left w:w="108" w:type="dxa"/>
            <w:bottom w:w="0" w:type="dxa"/>
            <w:right w:w="108" w:type="dxa"/>
          </w:tblCellMar>
        </w:tblPrEx>
        <w:trPr>
          <w:trHeight w:val="135" w:hRule="atLeast"/>
        </w:trPr>
        <w:tc>
          <w:tcPr>
            <w:tcW w:w="571"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712"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841" w:type="dxa"/>
            <w:vMerge w:val="continue"/>
            <w:tcBorders>
              <w:left w:val="single" w:color="auto" w:sz="4" w:space="0"/>
              <w:bottom w:val="single" w:color="auto" w:sz="4" w:space="0"/>
              <w:right w:val="single" w:color="auto" w:sz="4" w:space="0"/>
            </w:tcBorders>
          </w:tcPr>
          <w:p>
            <w:pPr>
              <w:jc w:val="left"/>
              <w:rPr>
                <w:b/>
                <w:color w:val="auto"/>
                <w:kern w:val="0"/>
                <w:sz w:val="18"/>
                <w:szCs w:val="18"/>
              </w:rPr>
            </w:pPr>
          </w:p>
        </w:tc>
        <w:tc>
          <w:tcPr>
            <w:tcW w:w="4365"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870"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1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16"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3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50"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708"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p>
        </w:tc>
        <w:tc>
          <w:tcPr>
            <w:tcW w:w="71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121001</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思想道德与法治</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54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54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restart"/>
            <w:tcBorders>
              <w:top w:val="single" w:color="auto" w:sz="4" w:space="0"/>
              <w:left w:val="single" w:color="auto" w:sz="4" w:space="0"/>
              <w:right w:val="single" w:color="auto" w:sz="4" w:space="0"/>
            </w:tcBorders>
            <w:vAlign w:val="center"/>
          </w:tcPr>
          <w:p>
            <w:pPr>
              <w:spacing w:line="200" w:lineRule="atLeast"/>
              <w:jc w:val="center"/>
              <w:rPr>
                <w:rFonts w:hint="eastAsia" w:ascii="宋体" w:hAnsi="宋体"/>
                <w:color w:val="auto"/>
                <w:sz w:val="22"/>
              </w:rPr>
            </w:pPr>
            <w:r>
              <w:rPr>
                <w:rFonts w:hint="eastAsia" w:ascii="宋体" w:hAnsi="宋体"/>
                <w:color w:val="auto"/>
                <w:sz w:val="22"/>
              </w:rPr>
              <w:t xml:space="preserve"> </w:t>
            </w: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712"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公共基础必修课程</w:t>
            </w: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olor w:val="auto"/>
                <w:kern w:val="0"/>
                <w:sz w:val="18"/>
                <w:szCs w:val="18"/>
                <w:lang w:val="en-US" w:eastAsia="zh-CN"/>
              </w:rPr>
            </w:pPr>
            <w:r>
              <w:rPr>
                <w:rFonts w:hint="eastAsia" w:ascii="宋体" w:hAnsi="宋体"/>
                <w:color w:val="auto"/>
                <w:kern w:val="0"/>
                <w:sz w:val="18"/>
                <w:szCs w:val="18"/>
              </w:rPr>
              <w:t>1210</w:t>
            </w:r>
            <w:r>
              <w:rPr>
                <w:rFonts w:hint="eastAsia" w:ascii="宋体" w:hAnsi="宋体"/>
                <w:color w:val="auto"/>
                <w:kern w:val="0"/>
                <w:sz w:val="18"/>
                <w:szCs w:val="18"/>
                <w:lang w:val="en-US" w:eastAsia="zh-CN"/>
              </w:rPr>
              <w:t>28</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毛泽东思想和中国特色社会主义理论体系概论</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3</w:t>
            </w:r>
          </w:p>
        </w:tc>
        <w:tc>
          <w:tcPr>
            <w:tcW w:w="712" w:type="dxa"/>
            <w:vMerge w:val="continue"/>
            <w:tcBorders>
              <w:top w:val="single" w:color="auto" w:sz="4" w:space="0"/>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121027</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习近平新时代中国特色社会主义思想概论</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54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54</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4</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121008</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形势与政策</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5</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161002</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军事理论</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148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112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bCs/>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148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6</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161003</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大学生心理健康</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7</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141001</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大学体育</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6</w:t>
            </w:r>
          </w:p>
        </w:tc>
        <w:tc>
          <w:tcPr>
            <w:tcW w:w="514"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cs="Calibri"/>
                <w:color w:val="auto"/>
                <w:kern w:val="0"/>
                <w:sz w:val="18"/>
                <w:szCs w:val="18"/>
              </w:rPr>
            </w:pPr>
            <w:r>
              <w:rPr>
                <w:rFonts w:cs="Calibri"/>
                <w:color w:val="auto"/>
                <w:kern w:val="0"/>
                <w:sz w:val="18"/>
                <w:szCs w:val="18"/>
              </w:rPr>
              <w:t>1-2</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3</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108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96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8</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161001</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劳动课</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9</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121016</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大学生职业发展与就业指导</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10</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121012</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大学生创新创业基础</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16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8</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11</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131042</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商务英语</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68</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4</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12</w:t>
            </w:r>
          </w:p>
        </w:tc>
        <w:tc>
          <w:tcPr>
            <w:tcW w:w="712" w:type="dxa"/>
            <w:vMerge w:val="continue"/>
            <w:tcBorders>
              <w:left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宋体"/>
                <w:color w:val="auto"/>
                <w:kern w:val="0"/>
                <w:sz w:val="18"/>
                <w:szCs w:val="18"/>
                <w:lang w:val="en-US" w:eastAsia="zh-CN"/>
              </w:rPr>
            </w:pPr>
            <w:r>
              <w:rPr>
                <w:rFonts w:hint="eastAsia" w:ascii="宋体" w:hAnsi="宋体"/>
                <w:color w:val="auto"/>
                <w:kern w:val="0"/>
                <w:sz w:val="18"/>
                <w:szCs w:val="18"/>
              </w:rPr>
              <w:t>071</w:t>
            </w:r>
            <w:r>
              <w:rPr>
                <w:rFonts w:hint="eastAsia" w:ascii="宋体" w:hAnsi="宋体"/>
                <w:color w:val="auto"/>
                <w:kern w:val="0"/>
                <w:sz w:val="18"/>
                <w:szCs w:val="18"/>
                <w:lang w:val="en-US" w:eastAsia="zh-CN"/>
              </w:rPr>
              <w:t>236</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信息技术</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restart"/>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13</w:t>
            </w:r>
          </w:p>
        </w:tc>
        <w:tc>
          <w:tcPr>
            <w:tcW w:w="712" w:type="dxa"/>
            <w:vMerge w:val="continue"/>
            <w:tcBorders>
              <w:left w:val="single" w:color="auto" w:sz="4" w:space="0"/>
              <w:bottom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r>
              <w:rPr>
                <w:rFonts w:hint="eastAsia" w:ascii="宋体" w:hAnsi="宋体"/>
                <w:color w:val="auto"/>
                <w:kern w:val="0"/>
                <w:sz w:val="18"/>
                <w:szCs w:val="18"/>
              </w:rPr>
              <w:t>13</w:t>
            </w:r>
            <w:r>
              <w:rPr>
                <w:rFonts w:hint="eastAsia" w:ascii="宋体" w:hAnsi="宋体"/>
                <w:color w:val="auto"/>
                <w:kern w:val="0"/>
                <w:sz w:val="18"/>
                <w:szCs w:val="18"/>
                <w:lang w:val="en-US" w:eastAsia="zh-CN"/>
              </w:rPr>
              <w:t>1</w:t>
            </w:r>
            <w:r>
              <w:rPr>
                <w:rFonts w:hint="eastAsia" w:ascii="宋体" w:hAnsi="宋体"/>
                <w:color w:val="auto"/>
                <w:kern w:val="0"/>
                <w:sz w:val="18"/>
                <w:szCs w:val="18"/>
              </w:rPr>
              <w:t>101</w:t>
            </w:r>
          </w:p>
        </w:tc>
        <w:tc>
          <w:tcPr>
            <w:tcW w:w="43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18"/>
                <w:szCs w:val="18"/>
              </w:rPr>
            </w:pPr>
            <w:r>
              <w:rPr>
                <w:rFonts w:hint="eastAsia" w:ascii="宋体" w:hAnsi="宋体"/>
                <w:color w:val="auto"/>
                <w:kern w:val="0"/>
                <w:sz w:val="18"/>
                <w:szCs w:val="18"/>
              </w:rPr>
              <w:t>财经应用文写作</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34</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cs="Calibri"/>
                <w:color w:val="auto"/>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71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auto"/>
                <w:kern w:val="0"/>
                <w:sz w:val="18"/>
                <w:szCs w:val="18"/>
              </w:rPr>
            </w:pPr>
            <w:r>
              <w:rPr>
                <w:color w:val="auto"/>
                <w:kern w:val="0"/>
                <w:sz w:val="18"/>
                <w:szCs w:val="18"/>
              </w:rPr>
              <w:t>公共</w:t>
            </w:r>
          </w:p>
          <w:p>
            <w:pPr>
              <w:spacing w:line="240" w:lineRule="exact"/>
              <w:jc w:val="center"/>
              <w:rPr>
                <w:color w:val="auto"/>
                <w:kern w:val="0"/>
                <w:sz w:val="18"/>
                <w:szCs w:val="18"/>
              </w:rPr>
            </w:pPr>
            <w:r>
              <w:rPr>
                <w:rFonts w:hint="eastAsia"/>
                <w:color w:val="auto"/>
                <w:kern w:val="0"/>
                <w:sz w:val="18"/>
                <w:szCs w:val="18"/>
              </w:rPr>
              <w:t>选</w:t>
            </w:r>
            <w:r>
              <w:rPr>
                <w:color w:val="auto"/>
                <w:kern w:val="0"/>
                <w:sz w:val="18"/>
                <w:szCs w:val="18"/>
              </w:rPr>
              <w:t>修课程</w:t>
            </w:r>
          </w:p>
        </w:tc>
        <w:tc>
          <w:tcPr>
            <w:tcW w:w="8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auto"/>
                <w:kern w:val="0"/>
                <w:sz w:val="18"/>
                <w:szCs w:val="18"/>
              </w:rPr>
            </w:pPr>
            <w:r>
              <w:rPr>
                <w:rFonts w:ascii="宋体" w:hAnsi="宋体"/>
                <w:color w:val="auto"/>
                <w:kern w:val="0"/>
                <w:sz w:val="18"/>
                <w:szCs w:val="18"/>
              </w:rPr>
              <w:t>在公共选修课模块中</w:t>
            </w:r>
            <w:r>
              <w:rPr>
                <w:rFonts w:hint="eastAsia" w:ascii="宋体" w:hAnsi="宋体"/>
                <w:color w:val="auto"/>
                <w:kern w:val="0"/>
                <w:sz w:val="18"/>
                <w:szCs w:val="18"/>
              </w:rPr>
              <w:t>，须</w:t>
            </w:r>
            <w:r>
              <w:rPr>
                <w:rFonts w:ascii="宋体" w:hAnsi="宋体"/>
                <w:color w:val="auto"/>
                <w:kern w:val="0"/>
                <w:sz w:val="18"/>
                <w:szCs w:val="18"/>
              </w:rPr>
              <w:t>修满</w:t>
            </w:r>
            <w:r>
              <w:rPr>
                <w:rFonts w:hint="eastAsia" w:ascii="宋体" w:hAnsi="宋体"/>
                <w:b/>
                <w:bCs/>
                <w:color w:val="auto"/>
                <w:kern w:val="0"/>
                <w:sz w:val="18"/>
                <w:szCs w:val="18"/>
              </w:rPr>
              <w:t>6</w:t>
            </w:r>
            <w:r>
              <w:rPr>
                <w:rFonts w:hint="eastAsia" w:ascii="宋体" w:hAnsi="宋体"/>
                <w:color w:val="auto"/>
                <w:kern w:val="0"/>
                <w:sz w:val="18"/>
                <w:szCs w:val="18"/>
              </w:rPr>
              <w:t>个学分课程（每门公共选修课记1学分，每学期限选2门）</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b/>
                <w:bCs/>
                <w:color w:val="auto"/>
                <w:kern w:val="0"/>
                <w:sz w:val="18"/>
                <w:szCs w:val="18"/>
              </w:rPr>
              <w:t>6</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1-4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hint="eastAsia" w:cs="Calibri"/>
                <w:color w:val="auto"/>
                <w:sz w:val="18"/>
                <w:szCs w:val="18"/>
              </w:rPr>
              <w:t>108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r>
              <w:rPr>
                <w:rFonts w:hint="eastAsia" w:cs="Calibri"/>
                <w:color w:val="auto"/>
                <w:sz w:val="18"/>
                <w:szCs w:val="18"/>
              </w:rPr>
              <w:t>108</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12" w:type="dxa"/>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cs="Calibri"/>
                <w:b/>
                <w:color w:val="auto"/>
                <w:kern w:val="0"/>
                <w:sz w:val="18"/>
                <w:szCs w:val="18"/>
              </w:rPr>
              <w:t>43</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sz w:val="11"/>
                <w:szCs w:val="11"/>
              </w:rPr>
            </w:pPr>
            <w:r>
              <w:rPr>
                <w:rFonts w:cs="Calibri"/>
                <w:b/>
                <w:bCs/>
                <w:color w:val="auto"/>
                <w:kern w:val="0"/>
                <w:sz w:val="18"/>
                <w:szCs w:val="18"/>
                <w:lang w:bidi="ar"/>
              </w:rPr>
              <w:t>836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sz w:val="11"/>
                <w:szCs w:val="11"/>
              </w:rPr>
            </w:pPr>
            <w:r>
              <w:rPr>
                <w:rFonts w:cs="Calibri"/>
                <w:b/>
                <w:bCs/>
                <w:color w:val="auto"/>
                <w:kern w:val="0"/>
                <w:sz w:val="18"/>
                <w:szCs w:val="18"/>
                <w:lang w:bidi="ar"/>
              </w:rPr>
              <w:t>516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sz w:val="11"/>
                <w:szCs w:val="11"/>
              </w:rPr>
            </w:pPr>
            <w:r>
              <w:rPr>
                <w:rFonts w:cs="Calibri"/>
                <w:b/>
                <w:bCs/>
                <w:color w:val="auto"/>
                <w:kern w:val="0"/>
                <w:sz w:val="18"/>
                <w:szCs w:val="18"/>
                <w:lang w:bidi="ar"/>
              </w:rPr>
              <w:t>320</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226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356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118</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28</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bCs/>
                <w:color w:val="auto"/>
                <w:kern w:val="0"/>
                <w:sz w:val="18"/>
                <w:szCs w:val="18"/>
              </w:rPr>
              <w:t>1</w:t>
            </w:r>
            <w:r>
              <w:rPr>
                <w:rFonts w:hint="eastAsia"/>
                <w:bCs/>
                <w:color w:val="auto"/>
                <w:kern w:val="0"/>
                <w:sz w:val="18"/>
                <w:szCs w:val="18"/>
              </w:rPr>
              <w:t>4</w:t>
            </w:r>
          </w:p>
        </w:tc>
        <w:tc>
          <w:tcPr>
            <w:tcW w:w="712"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专业基础必修课程</w:t>
            </w:r>
          </w:p>
        </w:tc>
        <w:tc>
          <w:tcPr>
            <w:tcW w:w="841"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091135</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管理学基础</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hint="eastAsia"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r>
              <w:rPr>
                <w:rFonts w:hint="eastAsia" w:ascii="宋体" w:hAnsi="宋体"/>
                <w:color w:val="auto"/>
                <w:kern w:val="0"/>
                <w:sz w:val="18"/>
                <w:szCs w:val="18"/>
              </w:rPr>
              <w:t>1</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r>
              <w:rPr>
                <w:rFonts w:hint="eastAsia" w:ascii="宋体" w:hAnsi="宋体"/>
                <w:color w:val="auto"/>
                <w:kern w:val="0"/>
                <w:sz w:val="18"/>
                <w:szCs w:val="18"/>
              </w:rPr>
              <w:t>64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r>
              <w:rPr>
                <w:rFonts w:hint="eastAsia" w:ascii="宋体" w:hAnsi="宋体"/>
                <w:color w:val="auto"/>
                <w:kern w:val="0"/>
                <w:sz w:val="18"/>
                <w:szCs w:val="18"/>
              </w:rPr>
              <w:t>32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r>
              <w:rPr>
                <w:rFonts w:hint="eastAsia" w:ascii="宋体" w:hAnsi="宋体"/>
                <w:color w:val="auto"/>
                <w:kern w:val="0"/>
                <w:sz w:val="18"/>
                <w:szCs w:val="18"/>
              </w:rPr>
              <w:t>32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22"/>
                <w:szCs w:val="18"/>
              </w:rPr>
            </w:pPr>
            <w:r>
              <w:rPr>
                <w:rFonts w:hint="eastAsia" w:cs="Calibri"/>
                <w:color w:val="auto"/>
                <w:kern w:val="0"/>
                <w:sz w:val="22"/>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22"/>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bCs/>
                <w:color w:val="auto"/>
                <w:kern w:val="0"/>
                <w:sz w:val="18"/>
                <w:szCs w:val="18"/>
              </w:rPr>
              <w:t>1</w:t>
            </w:r>
            <w:r>
              <w:rPr>
                <w:rFonts w:hint="eastAsia"/>
                <w:bCs/>
                <w:color w:val="auto"/>
                <w:kern w:val="0"/>
                <w:sz w:val="18"/>
                <w:szCs w:val="18"/>
              </w:rPr>
              <w:t>5</w:t>
            </w: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201</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经济学基础</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1</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bCs/>
                <w:color w:val="auto"/>
                <w:kern w:val="0"/>
                <w:sz w:val="18"/>
                <w:szCs w:val="18"/>
              </w:rPr>
              <w:t>1</w:t>
            </w:r>
            <w:r>
              <w:rPr>
                <w:rFonts w:hint="eastAsia"/>
                <w:bCs/>
                <w:color w:val="auto"/>
                <w:kern w:val="0"/>
                <w:sz w:val="18"/>
                <w:szCs w:val="18"/>
              </w:rPr>
              <w:t>6</w:t>
            </w: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091136</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物业财务管理</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64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64</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rFonts w:hint="eastAsia"/>
                <w:bCs/>
                <w:color w:val="auto"/>
                <w:kern w:val="0"/>
                <w:sz w:val="18"/>
                <w:szCs w:val="18"/>
              </w:rPr>
              <w:t>17</w:t>
            </w:r>
          </w:p>
        </w:tc>
        <w:tc>
          <w:tcPr>
            <w:tcW w:w="7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shd w:val="clear" w:color="auto" w:fill="auto"/>
          </w:tcPr>
          <w:p>
            <w:pPr>
              <w:jc w:val="left"/>
              <w:rPr>
                <w:color w:val="auto"/>
                <w:kern w:val="0"/>
                <w:sz w:val="18"/>
                <w:szCs w:val="18"/>
              </w:rPr>
            </w:pPr>
            <w:r>
              <w:rPr>
                <w:rFonts w:hint="eastAsia"/>
                <w:color w:val="auto"/>
                <w:kern w:val="0"/>
                <w:sz w:val="18"/>
                <w:szCs w:val="18"/>
              </w:rPr>
              <w:t>091335</w:t>
            </w:r>
          </w:p>
        </w:tc>
        <w:tc>
          <w:tcPr>
            <w:tcW w:w="436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ascii="宋体" w:hAnsi="宋体"/>
                <w:color w:val="auto"/>
                <w:kern w:val="0"/>
                <w:sz w:val="18"/>
                <w:szCs w:val="18"/>
              </w:rPr>
              <w:t>市场调查与预测</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cs="Calibri"/>
                <w:color w:val="auto"/>
                <w:kern w:val="0"/>
                <w:sz w:val="18"/>
                <w:szCs w:val="18"/>
              </w:rPr>
            </w:pPr>
            <w:r>
              <w:rPr>
                <w:rFonts w:hint="eastAsia"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3</w:t>
            </w:r>
          </w:p>
        </w:tc>
        <w:tc>
          <w:tcPr>
            <w:tcW w:w="63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cs="Calibri"/>
                <w:color w:val="auto"/>
                <w:kern w:val="0"/>
                <w:sz w:val="18"/>
                <w:szCs w:val="18"/>
              </w:rPr>
              <w:t>72</w:t>
            </w:r>
          </w:p>
        </w:tc>
        <w:tc>
          <w:tcPr>
            <w:tcW w:w="127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bCs/>
                <w:color w:val="auto"/>
                <w:kern w:val="0"/>
                <w:sz w:val="18"/>
                <w:szCs w:val="18"/>
              </w:rPr>
              <w:t>1</w:t>
            </w:r>
            <w:r>
              <w:rPr>
                <w:rFonts w:hint="eastAsia"/>
                <w:bCs/>
                <w:color w:val="auto"/>
                <w:kern w:val="0"/>
                <w:sz w:val="18"/>
                <w:szCs w:val="18"/>
              </w:rPr>
              <w:t>8</w:t>
            </w:r>
          </w:p>
        </w:tc>
        <w:tc>
          <w:tcPr>
            <w:tcW w:w="71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shd w:val="clear" w:color="auto" w:fill="auto"/>
          </w:tcPr>
          <w:p>
            <w:pPr>
              <w:jc w:val="left"/>
              <w:rPr>
                <w:color w:val="auto"/>
                <w:kern w:val="0"/>
                <w:sz w:val="18"/>
                <w:szCs w:val="18"/>
              </w:rPr>
            </w:pPr>
            <w:r>
              <w:rPr>
                <w:rFonts w:hint="eastAsia"/>
                <w:color w:val="auto"/>
                <w:kern w:val="0"/>
                <w:sz w:val="18"/>
                <w:szCs w:val="18"/>
              </w:rPr>
              <w:t>091137</w:t>
            </w:r>
          </w:p>
        </w:tc>
        <w:tc>
          <w:tcPr>
            <w:tcW w:w="436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ascii="宋体" w:hAnsi="宋体"/>
                <w:color w:val="auto"/>
                <w:kern w:val="0"/>
                <w:sz w:val="18"/>
                <w:szCs w:val="18"/>
              </w:rPr>
              <w:t>民法学基础</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cs="Calibri"/>
                <w:color w:val="auto"/>
                <w:kern w:val="0"/>
                <w:sz w:val="18"/>
                <w:szCs w:val="18"/>
              </w:rPr>
            </w:pPr>
            <w:r>
              <w:rPr>
                <w:rFonts w:hint="eastAsia" w:cs="Calibri"/>
                <w:color w:val="auto"/>
                <w:kern w:val="0"/>
                <w:sz w:val="18"/>
                <w:szCs w:val="18"/>
                <w:lang w:bidi="ar"/>
              </w:rPr>
              <w:t>3</w:t>
            </w:r>
          </w:p>
        </w:tc>
        <w:tc>
          <w:tcPr>
            <w:tcW w:w="51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1</w:t>
            </w:r>
          </w:p>
        </w:tc>
        <w:tc>
          <w:tcPr>
            <w:tcW w:w="61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52</w:t>
            </w:r>
          </w:p>
        </w:tc>
        <w:tc>
          <w:tcPr>
            <w:tcW w:w="6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26</w:t>
            </w:r>
          </w:p>
        </w:tc>
        <w:tc>
          <w:tcPr>
            <w:tcW w:w="70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ascii="宋体" w:hAnsi="宋体"/>
                <w:color w:val="auto"/>
                <w:kern w:val="0"/>
                <w:sz w:val="18"/>
                <w:szCs w:val="18"/>
              </w:rPr>
              <w:t>26</w:t>
            </w:r>
          </w:p>
        </w:tc>
        <w:tc>
          <w:tcPr>
            <w:tcW w:w="54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r>
              <w:rPr>
                <w:rFonts w:hint="eastAsia" w:cs="Calibri"/>
                <w:color w:val="auto"/>
                <w:kern w:val="0"/>
                <w:sz w:val="18"/>
                <w:szCs w:val="18"/>
              </w:rPr>
              <w:t>52</w:t>
            </w: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textAlignment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19</w:t>
            </w: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091604</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商务礼仪</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lang w:bidi="ar"/>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left"/>
              <w:rPr>
                <w:color w:val="auto"/>
                <w:kern w:val="0"/>
                <w:sz w:val="18"/>
                <w:szCs w:val="18"/>
              </w:rPr>
            </w:pPr>
            <w:r>
              <w:rPr>
                <w:rFonts w:hint="eastAsia"/>
                <w:color w:val="auto"/>
                <w:kern w:val="0"/>
                <w:sz w:val="18"/>
                <w:szCs w:val="18"/>
              </w:rPr>
              <w:t>091138</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rPr>
            </w:pPr>
            <w:r>
              <w:rPr>
                <w:rFonts w:hint="eastAsia" w:ascii="宋体" w:hAnsi="宋体"/>
                <w:color w:val="auto"/>
                <w:kern w:val="0"/>
                <w:sz w:val="18"/>
                <w:szCs w:val="18"/>
              </w:rPr>
              <w:t>物业基础会计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2</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64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32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32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b/>
                <w:bCs/>
                <w:color w:val="auto"/>
                <w:kern w:val="0"/>
                <w:sz w:val="18"/>
                <w:szCs w:val="18"/>
              </w:rPr>
              <w:t>27</w:t>
            </w:r>
          </w:p>
        </w:tc>
        <w:tc>
          <w:tcPr>
            <w:tcW w:w="514"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lang w:bidi="ar"/>
              </w:rPr>
              <w:t>460</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rPr>
              <w:t>230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lang w:bidi="ar"/>
              </w:rPr>
              <w:t>230</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rPr>
            </w:pPr>
            <w:r>
              <w:rPr>
                <w:rFonts w:hint="eastAsia" w:cs="Calibri"/>
                <w:b/>
                <w:bCs/>
                <w:color w:val="auto"/>
                <w:kern w:val="0"/>
                <w:sz w:val="18"/>
                <w:szCs w:val="18"/>
                <w:lang w:bidi="ar"/>
              </w:rPr>
              <w:t>188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6"/>
                <w:szCs w:val="6"/>
              </w:rPr>
            </w:pPr>
            <w:r>
              <w:rPr>
                <w:rFonts w:hint="eastAsia" w:cs="Calibri"/>
                <w:b/>
                <w:bCs/>
                <w:color w:val="auto"/>
                <w:kern w:val="0"/>
                <w:sz w:val="18"/>
                <w:szCs w:val="18"/>
                <w:lang w:bidi="ar"/>
              </w:rPr>
              <w:t>136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6"/>
                <w:szCs w:val="6"/>
              </w:rPr>
            </w:pPr>
            <w:r>
              <w:rPr>
                <w:rFonts w:hint="eastAsia" w:cs="Calibri"/>
                <w:b/>
                <w:bCs/>
                <w:color w:val="auto"/>
                <w:kern w:val="0"/>
                <w:sz w:val="18"/>
                <w:szCs w:val="18"/>
                <w:lang w:bidi="ar"/>
              </w:rPr>
              <w:t>136</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3"/>
                <w:szCs w:val="13"/>
              </w:rPr>
            </w:pPr>
          </w:p>
        </w:tc>
        <w:tc>
          <w:tcPr>
            <w:tcW w:w="992" w:type="dxa"/>
            <w:gridSpan w:val="2"/>
            <w:vMerge w:val="restart"/>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21</w:t>
            </w:r>
          </w:p>
        </w:tc>
        <w:tc>
          <w:tcPr>
            <w:tcW w:w="712"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专业核心课程</w:t>
            </w: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091139</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建筑识图与CAD</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r>
              <w:rPr>
                <w:rFonts w:cs="Calibri"/>
                <w:color w:val="auto"/>
                <w:kern w:val="0"/>
                <w:sz w:val="18"/>
                <w:szCs w:val="18"/>
                <w:lang w:bidi="ar"/>
              </w:rPr>
              <w:t>72</w:t>
            </w:r>
            <w:r>
              <w:rPr>
                <w:rFonts w:hint="eastAsia" w:cs="Calibri"/>
                <w:color w:val="auto"/>
                <w:kern w:val="0"/>
                <w:sz w:val="18"/>
                <w:szCs w:val="18"/>
                <w:lang w:bidi="ar"/>
              </w:rPr>
              <w:t>（1-12）</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22</w:t>
            </w:r>
          </w:p>
        </w:tc>
        <w:tc>
          <w:tcPr>
            <w:tcW w:w="712" w:type="dxa"/>
            <w:vMerge w:val="continue"/>
            <w:tcBorders>
              <w:left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091140</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物业管理理论与实务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2</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23</w:t>
            </w:r>
          </w:p>
        </w:tc>
        <w:tc>
          <w:tcPr>
            <w:tcW w:w="712" w:type="dxa"/>
            <w:vMerge w:val="continue"/>
            <w:tcBorders>
              <w:left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091430</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物业管理法律法规</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2</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24</w:t>
            </w:r>
          </w:p>
        </w:tc>
        <w:tc>
          <w:tcPr>
            <w:tcW w:w="712" w:type="dxa"/>
            <w:vMerge w:val="continue"/>
            <w:tcBorders>
              <w:left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091431</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olor w:val="auto"/>
                <w:kern w:val="0"/>
                <w:sz w:val="18"/>
                <w:szCs w:val="18"/>
              </w:rPr>
              <w:t>物业客户服务管理</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s="Calibri"/>
                <w:color w:val="auto"/>
                <w:kern w:val="0"/>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25</w:t>
            </w:r>
          </w:p>
        </w:tc>
        <w:tc>
          <w:tcPr>
            <w:tcW w:w="712" w:type="dxa"/>
            <w:vMerge w:val="continue"/>
            <w:tcBorders>
              <w:left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348</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lang w:bidi="ar"/>
              </w:rPr>
            </w:pPr>
            <w:r>
              <w:rPr>
                <w:rFonts w:hint="eastAsia" w:ascii="宋体" w:hAnsi="宋体"/>
                <w:color w:val="auto"/>
                <w:kern w:val="0"/>
                <w:sz w:val="18"/>
                <w:szCs w:val="18"/>
              </w:rPr>
              <w:t>商务数据分析与应用</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lang w:bidi="ar"/>
              </w:rPr>
            </w:pPr>
            <w:r>
              <w:rPr>
                <w:rFonts w:hint="eastAsia" w:ascii="宋体" w:hAnsi="宋体"/>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r>
              <w:rPr>
                <w:rFonts w:hint="eastAsia" w:cs="Calibri"/>
                <w:color w:val="auto"/>
                <w:kern w:val="0"/>
                <w:sz w:val="18"/>
                <w:szCs w:val="18"/>
                <w:lang w:bidi="ar"/>
              </w:rPr>
              <w:t>（1-12）</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26</w:t>
            </w:r>
          </w:p>
        </w:tc>
        <w:tc>
          <w:tcPr>
            <w:tcW w:w="712" w:type="dxa"/>
            <w:vMerge w:val="continue"/>
            <w:tcBorders>
              <w:left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091141</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kern w:val="0"/>
                <w:sz w:val="18"/>
                <w:szCs w:val="18"/>
                <w:lang w:bidi="ar"/>
              </w:rPr>
            </w:pPr>
            <w:r>
              <w:rPr>
                <w:rFonts w:hint="eastAsia" w:ascii="宋体" w:hAnsi="宋体"/>
                <w:color w:val="auto"/>
                <w:kern w:val="0"/>
                <w:sz w:val="18"/>
                <w:szCs w:val="18"/>
              </w:rPr>
              <w:t>物业经营管理</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lang w:bidi="ar"/>
              </w:rPr>
            </w:pPr>
            <w:r>
              <w:rPr>
                <w:rFonts w:hint="eastAsia" w:ascii="宋体" w:hAnsi="宋体"/>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4</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ascii="宋体" w:hAnsi="宋体"/>
                <w:color w:val="auto"/>
                <w:kern w:val="0"/>
                <w:sz w:val="18"/>
                <w:szCs w:val="18"/>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72</w:t>
            </w:r>
            <w:r>
              <w:rPr>
                <w:rFonts w:hint="eastAsia" w:cs="Calibri"/>
                <w:color w:val="auto"/>
                <w:kern w:val="0"/>
                <w:sz w:val="18"/>
                <w:szCs w:val="18"/>
                <w:lang w:bidi="ar"/>
              </w:rPr>
              <w:t>（1-12）</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12" w:type="dxa"/>
            <w:vMerge w:val="continue"/>
            <w:tcBorders>
              <w:left w:val="single" w:color="auto" w:sz="4" w:space="0"/>
              <w:bottom w:val="single" w:color="auto" w:sz="4" w:space="0"/>
              <w:right w:val="single" w:color="auto" w:sz="4" w:space="0"/>
            </w:tcBorders>
            <w:vAlign w:val="center"/>
          </w:tcPr>
          <w:p>
            <w:pPr>
              <w:jc w:val="center"/>
              <w:rPr>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kern w:val="0"/>
                <w:sz w:val="18"/>
                <w:szCs w:val="18"/>
                <w:lang w:bidi="ar"/>
              </w:rPr>
            </w:pPr>
            <w:r>
              <w:rPr>
                <w:b/>
                <w:color w:val="auto"/>
                <w:kern w:val="0"/>
                <w:sz w:val="18"/>
                <w:szCs w:val="18"/>
              </w:rPr>
              <w:t>小计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b/>
                <w:bCs/>
                <w:color w:val="auto"/>
                <w:kern w:val="0"/>
                <w:sz w:val="18"/>
                <w:szCs w:val="18"/>
                <w:lang w:bidi="ar"/>
              </w:rPr>
              <w:t>24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3"/>
                <w:szCs w:val="13"/>
              </w:rPr>
            </w:pPr>
            <w:r>
              <w:rPr>
                <w:rFonts w:cs="Calibri"/>
                <w:b/>
                <w:bCs/>
                <w:color w:val="auto"/>
                <w:kern w:val="0"/>
                <w:sz w:val="20"/>
                <w:szCs w:val="20"/>
                <w:lang w:bidi="ar"/>
              </w:rPr>
              <w:t>432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20"/>
                <w:szCs w:val="20"/>
                <w:lang w:bidi="ar"/>
              </w:rPr>
            </w:pPr>
            <w:r>
              <w:rPr>
                <w:rFonts w:hint="eastAsia" w:cs="Calibri"/>
                <w:b/>
                <w:bCs/>
                <w:color w:val="auto"/>
                <w:kern w:val="0"/>
                <w:sz w:val="20"/>
                <w:szCs w:val="20"/>
                <w:lang w:bidi="ar"/>
              </w:rPr>
              <w:t>216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20"/>
                <w:szCs w:val="20"/>
                <w:lang w:bidi="ar"/>
              </w:rPr>
            </w:pPr>
            <w:r>
              <w:rPr>
                <w:rFonts w:hint="eastAsia" w:cs="Calibri"/>
                <w:b/>
                <w:bCs/>
                <w:color w:val="auto"/>
                <w:kern w:val="0"/>
                <w:sz w:val="20"/>
                <w:szCs w:val="20"/>
                <w:lang w:bidi="ar"/>
              </w:rPr>
              <w:t>216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3"/>
                <w:szCs w:val="13"/>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20"/>
                <w:szCs w:val="20"/>
                <w:lang w:bidi="ar"/>
              </w:rPr>
            </w:pPr>
            <w:r>
              <w:rPr>
                <w:rFonts w:hint="eastAsia" w:cs="Calibri"/>
                <w:b/>
                <w:bCs/>
                <w:color w:val="auto"/>
                <w:kern w:val="0"/>
                <w:sz w:val="20"/>
                <w:szCs w:val="20"/>
                <w:lang w:bidi="ar"/>
              </w:rPr>
              <w:t>144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20"/>
                <w:szCs w:val="20"/>
                <w:lang w:bidi="ar"/>
              </w:rPr>
            </w:pPr>
            <w:r>
              <w:rPr>
                <w:rFonts w:hint="eastAsia" w:cs="Calibri"/>
                <w:b/>
                <w:bCs/>
                <w:color w:val="auto"/>
                <w:kern w:val="0"/>
                <w:sz w:val="20"/>
                <w:szCs w:val="20"/>
                <w:lang w:bidi="ar"/>
              </w:rPr>
              <w:t>72</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3"/>
                <w:szCs w:val="13"/>
              </w:rPr>
            </w:pPr>
            <w:r>
              <w:rPr>
                <w:rFonts w:cs="Calibri"/>
                <w:b/>
                <w:bCs/>
                <w:color w:val="auto"/>
                <w:kern w:val="0"/>
                <w:sz w:val="20"/>
                <w:szCs w:val="20"/>
                <w:lang w:bidi="ar"/>
              </w:rPr>
              <w:t>216</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27</w:t>
            </w:r>
          </w:p>
        </w:tc>
        <w:tc>
          <w:tcPr>
            <w:tcW w:w="712"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color w:val="auto"/>
                <w:kern w:val="0"/>
                <w:sz w:val="18"/>
                <w:szCs w:val="18"/>
              </w:rPr>
              <w:t>专业</w:t>
            </w:r>
            <w:r>
              <w:rPr>
                <w:rFonts w:hint="eastAsia"/>
                <w:color w:val="auto"/>
                <w:kern w:val="0"/>
                <w:sz w:val="18"/>
                <w:szCs w:val="18"/>
              </w:rPr>
              <w:t>拓展</w:t>
            </w:r>
            <w:r>
              <w:rPr>
                <w:color w:val="auto"/>
                <w:kern w:val="0"/>
                <w:sz w:val="18"/>
                <w:szCs w:val="18"/>
              </w:rPr>
              <w:t>课程</w:t>
            </w: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091612</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olor w:val="auto"/>
                <w:kern w:val="0"/>
                <w:sz w:val="18"/>
                <w:szCs w:val="18"/>
              </w:rPr>
              <w:t>方向1：智能楼宇管理</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tcPr>
          <w:p>
            <w:pPr>
              <w:jc w:val="center"/>
              <w:rPr>
                <w:rFonts w:cs="Calibri"/>
                <w:bCs/>
                <w:color w:val="auto"/>
                <w:kern w:val="0"/>
                <w:sz w:val="18"/>
                <w:szCs w:val="18"/>
              </w:rPr>
            </w:pPr>
            <w:r>
              <w:rPr>
                <w:rFonts w:cs="Calibri"/>
                <w:bCs/>
                <w:color w:val="auto"/>
                <w:kern w:val="0"/>
                <w:sz w:val="18"/>
                <w:szCs w:val="18"/>
              </w:rPr>
              <w:t>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72</w:t>
            </w:r>
            <w:r>
              <w:rPr>
                <w:rFonts w:hint="eastAsia" w:cs="Calibri"/>
                <w:color w:val="auto"/>
                <w:kern w:val="0"/>
                <w:sz w:val="18"/>
                <w:szCs w:val="18"/>
                <w:lang w:bidi="ar"/>
              </w:rPr>
              <w:t>（1-12）</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28</w:t>
            </w:r>
          </w:p>
        </w:tc>
        <w:tc>
          <w:tcPr>
            <w:tcW w:w="712" w:type="dxa"/>
            <w:vMerge w:val="continue"/>
            <w:tcBorders>
              <w:left w:val="single" w:color="auto" w:sz="4" w:space="0"/>
              <w:right w:val="single" w:color="auto" w:sz="4" w:space="0"/>
            </w:tcBorders>
            <w:vAlign w:val="center"/>
          </w:tcPr>
          <w:p>
            <w:pPr>
              <w:jc w:val="left"/>
              <w:rPr>
                <w:b/>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177</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olor w:val="auto"/>
                <w:kern w:val="0"/>
                <w:sz w:val="18"/>
                <w:szCs w:val="18"/>
              </w:rPr>
              <w:t>方向2：新媒体营销</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lang w:bidi="ar"/>
              </w:rPr>
              <w:t>4</w:t>
            </w:r>
          </w:p>
        </w:tc>
        <w:tc>
          <w:tcPr>
            <w:tcW w:w="514"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tcPr>
          <w:p>
            <w:pPr>
              <w:jc w:val="center"/>
              <w:rPr>
                <w:rFonts w:cs="Calibri"/>
                <w:bCs/>
                <w:color w:val="auto"/>
                <w:kern w:val="0"/>
                <w:sz w:val="18"/>
                <w:szCs w:val="18"/>
              </w:rPr>
            </w:pPr>
            <w:r>
              <w:rPr>
                <w:rFonts w:cs="Calibri"/>
                <w:bCs/>
                <w:color w:val="auto"/>
                <w:kern w:val="0"/>
                <w:sz w:val="18"/>
                <w:szCs w:val="18"/>
              </w:rPr>
              <w:t>4</w:t>
            </w: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cs="Calibri"/>
                <w:color w:val="auto"/>
                <w:kern w:val="0"/>
                <w:sz w:val="18"/>
                <w:szCs w:val="18"/>
                <w:lang w:bidi="ar"/>
              </w:rPr>
              <w:t>72</w:t>
            </w:r>
            <w:r>
              <w:rPr>
                <w:rFonts w:hint="eastAsia" w:cs="Calibri"/>
                <w:color w:val="auto"/>
                <w:kern w:val="0"/>
                <w:sz w:val="18"/>
                <w:szCs w:val="18"/>
                <w:lang w:bidi="ar"/>
              </w:rPr>
              <w:t>（1-12)</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12"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b/>
                <w:bCs/>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72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36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1"/>
                <w:szCs w:val="11"/>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1"/>
                <w:szCs w:val="11"/>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1"/>
                <w:szCs w:val="11"/>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1"/>
                <w:szCs w:val="11"/>
              </w:rPr>
            </w:pPr>
            <w:r>
              <w:rPr>
                <w:rFonts w:cs="Calibri"/>
                <w:b/>
                <w:bCs/>
                <w:color w:val="auto"/>
                <w:kern w:val="0"/>
                <w:sz w:val="18"/>
                <w:szCs w:val="18"/>
                <w:lang w:bidi="ar"/>
              </w:rPr>
              <w:t>72</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29</w:t>
            </w:r>
          </w:p>
        </w:tc>
        <w:tc>
          <w:tcPr>
            <w:tcW w:w="712" w:type="dxa"/>
            <w:vMerge w:val="restart"/>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p>
            <w:pPr>
              <w:jc w:val="center"/>
              <w:rPr>
                <w:b/>
                <w:color w:val="auto"/>
                <w:kern w:val="0"/>
                <w:sz w:val="18"/>
                <w:szCs w:val="18"/>
              </w:rPr>
            </w:pPr>
            <w:r>
              <w:rPr>
                <w:color w:val="auto"/>
                <w:kern w:val="0"/>
                <w:sz w:val="18"/>
                <w:szCs w:val="18"/>
              </w:rPr>
              <w:t>专业</w:t>
            </w:r>
            <w:r>
              <w:rPr>
                <w:rFonts w:hint="eastAsia"/>
                <w:color w:val="auto"/>
                <w:kern w:val="0"/>
                <w:sz w:val="18"/>
                <w:szCs w:val="18"/>
              </w:rPr>
              <w:t>选修</w:t>
            </w:r>
            <w:r>
              <w:rPr>
                <w:color w:val="auto"/>
                <w:kern w:val="0"/>
                <w:sz w:val="18"/>
                <w:szCs w:val="18"/>
              </w:rPr>
              <w:t>课程</w:t>
            </w:r>
          </w:p>
        </w:tc>
        <w:tc>
          <w:tcPr>
            <w:tcW w:w="841" w:type="dxa"/>
            <w:tcBorders>
              <w:top w:val="single" w:color="auto" w:sz="4" w:space="0"/>
              <w:left w:val="single" w:color="auto" w:sz="4" w:space="0"/>
              <w:bottom w:val="single" w:color="auto" w:sz="4" w:space="0"/>
              <w:right w:val="single" w:color="auto" w:sz="4" w:space="0"/>
            </w:tcBorders>
            <w:vAlign w:val="top"/>
          </w:tcPr>
          <w:p>
            <w:pPr>
              <w:widowControl/>
              <w:spacing w:line="260" w:lineRule="exact"/>
              <w:jc w:val="center"/>
              <w:textAlignment w:val="center"/>
              <w:rPr>
                <w:color w:val="auto"/>
                <w:kern w:val="0"/>
                <w:sz w:val="18"/>
                <w:szCs w:val="18"/>
              </w:rPr>
            </w:pPr>
            <w:r>
              <w:rPr>
                <w:rFonts w:hint="eastAsia" w:ascii="宋体" w:hAnsi="宋体" w:cs="宋体"/>
                <w:color w:val="auto"/>
                <w:sz w:val="18"/>
                <w:szCs w:val="18"/>
              </w:rPr>
              <w:t>09</w:t>
            </w:r>
            <w:r>
              <w:rPr>
                <w:rFonts w:hint="eastAsia" w:ascii="宋体" w:hAnsi="宋体" w:cs="宋体"/>
                <w:color w:val="auto"/>
                <w:sz w:val="18"/>
                <w:szCs w:val="18"/>
                <w:lang w:val="en-US" w:eastAsia="zh-CN"/>
              </w:rPr>
              <w:t>1946</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color w:val="auto"/>
                <w:kern w:val="0"/>
                <w:sz w:val="18"/>
                <w:szCs w:val="18"/>
              </w:rPr>
              <w:t>创业意识（GYB）</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olor w:val="auto"/>
                <w:kern w:val="0"/>
                <w:sz w:val="18"/>
                <w:szCs w:val="18"/>
              </w:rPr>
              <w:t>1</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5"/>
                <w:szCs w:val="15"/>
              </w:rPr>
              <w:t>4</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8"/>
                <w:szCs w:val="18"/>
              </w:rPr>
              <w:t>24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8"/>
                <w:szCs w:val="18"/>
              </w:rPr>
              <w:t>12</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8"/>
                <w:szCs w:val="18"/>
              </w:rPr>
              <w:t>12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24（16-18）</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30</w:t>
            </w:r>
          </w:p>
        </w:tc>
        <w:tc>
          <w:tcPr>
            <w:tcW w:w="712" w:type="dxa"/>
            <w:vMerge w:val="continue"/>
            <w:tcBorders>
              <w:top w:val="single" w:color="auto" w:sz="4" w:space="0"/>
              <w:left w:val="single" w:color="auto" w:sz="4" w:space="0"/>
              <w:right w:val="single" w:color="auto" w:sz="4" w:space="0"/>
            </w:tcBorders>
          </w:tcPr>
          <w:p>
            <w:pPr>
              <w:jc w:val="center"/>
              <w:rPr>
                <w:b/>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vAlign w:val="top"/>
          </w:tcPr>
          <w:p>
            <w:pPr>
              <w:widowControl/>
              <w:spacing w:line="260" w:lineRule="exact"/>
              <w:jc w:val="center"/>
              <w:textAlignment w:val="center"/>
              <w:rPr>
                <w:rFonts w:hint="eastAsia" w:eastAsia="宋体"/>
                <w:color w:val="auto"/>
                <w:kern w:val="0"/>
                <w:sz w:val="18"/>
                <w:szCs w:val="18"/>
                <w:lang w:val="en-US" w:eastAsia="zh-CN"/>
              </w:rPr>
            </w:pPr>
            <w:r>
              <w:rPr>
                <w:rFonts w:hint="eastAsia" w:ascii="宋体" w:hAnsi="宋体" w:cs="宋体"/>
                <w:color w:val="auto"/>
                <w:sz w:val="18"/>
                <w:szCs w:val="18"/>
              </w:rPr>
              <w:t>0911</w:t>
            </w:r>
            <w:r>
              <w:rPr>
                <w:rFonts w:hint="eastAsia" w:ascii="宋体" w:hAnsi="宋体" w:cs="宋体"/>
                <w:color w:val="auto"/>
                <w:sz w:val="18"/>
                <w:szCs w:val="18"/>
                <w:lang w:val="en-US" w:eastAsia="zh-CN"/>
              </w:rPr>
              <w:t>45</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color w:val="auto"/>
                <w:kern w:val="0"/>
                <w:sz w:val="18"/>
                <w:szCs w:val="18"/>
              </w:rPr>
              <w:t>创办你的企业（SYB）</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hint="eastAsia"/>
                <w:color w:val="auto"/>
                <w:kern w:val="0"/>
                <w:sz w:val="18"/>
                <w:szCs w:val="18"/>
              </w:rPr>
              <w:t>3</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5"/>
                <w:szCs w:val="15"/>
              </w:rPr>
              <w:t>4</w:t>
            </w: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8"/>
                <w:szCs w:val="18"/>
              </w:rPr>
              <w:t>56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8"/>
                <w:szCs w:val="18"/>
              </w:rPr>
              <w:t>28</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color w:val="auto"/>
                <w:kern w:val="0"/>
                <w:sz w:val="18"/>
                <w:szCs w:val="18"/>
              </w:rPr>
              <w:t>28</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lang w:bidi="ar"/>
              </w:rPr>
            </w:pPr>
            <w:r>
              <w:rPr>
                <w:rFonts w:hint="eastAsia" w:cs="Calibri"/>
                <w:color w:val="auto"/>
                <w:kern w:val="0"/>
                <w:sz w:val="18"/>
                <w:szCs w:val="18"/>
                <w:lang w:bidi="ar"/>
              </w:rPr>
              <w:t>56（16-18）</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nil"/>
              <w:left w:val="single" w:color="auto" w:sz="4" w:space="0"/>
              <w:bottom w:val="single" w:color="auto" w:sz="4" w:space="0"/>
              <w:right w:val="single" w:color="auto" w:sz="4" w:space="0"/>
            </w:tcBorders>
          </w:tcPr>
          <w:p>
            <w:pPr>
              <w:jc w:val="center"/>
              <w:rPr>
                <w:bCs/>
                <w:color w:val="auto"/>
                <w:kern w:val="0"/>
                <w:sz w:val="18"/>
                <w:szCs w:val="18"/>
              </w:rPr>
            </w:pPr>
          </w:p>
        </w:tc>
        <w:tc>
          <w:tcPr>
            <w:tcW w:w="712" w:type="dxa"/>
            <w:vMerge w:val="continue"/>
            <w:tcBorders>
              <w:top w:val="nil"/>
              <w:left w:val="single" w:color="auto" w:sz="4" w:space="0"/>
              <w:bottom w:val="single" w:color="auto" w:sz="4" w:space="0"/>
              <w:right w:val="single" w:color="auto" w:sz="4" w:space="0"/>
            </w:tcBorders>
          </w:tcPr>
          <w:p>
            <w:pPr>
              <w:jc w:val="center"/>
              <w:rPr>
                <w:b/>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870" w:type="dxa"/>
            <w:tcBorders>
              <w:top w:val="single" w:color="auto" w:sz="4" w:space="0"/>
              <w:left w:val="single" w:color="auto" w:sz="4" w:space="0"/>
              <w:bottom w:val="single" w:color="auto" w:sz="4" w:space="0"/>
              <w:right w:val="single" w:color="auto" w:sz="4" w:space="0"/>
            </w:tcBorders>
          </w:tcPr>
          <w:p>
            <w:pPr>
              <w:jc w:val="center"/>
              <w:rPr>
                <w:rFonts w:cs="Calibri"/>
                <w:color w:val="auto"/>
                <w:kern w:val="0"/>
                <w:sz w:val="18"/>
                <w:szCs w:val="18"/>
              </w:rPr>
            </w:pPr>
            <w:r>
              <w:rPr>
                <w:rFonts w:hint="eastAsia"/>
                <w:b/>
                <w:color w:val="auto"/>
                <w:kern w:val="0"/>
                <w:sz w:val="18"/>
                <w:szCs w:val="18"/>
              </w:rPr>
              <w:t>4</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cs="Calibri"/>
                <w:bCs/>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b/>
                <w:color w:val="auto"/>
                <w:kern w:val="0"/>
                <w:sz w:val="18"/>
                <w:szCs w:val="18"/>
              </w:rPr>
              <w:t>80</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cs="Calibri"/>
                <w:b/>
                <w:color w:val="auto"/>
                <w:kern w:val="0"/>
                <w:sz w:val="18"/>
                <w:szCs w:val="18"/>
              </w:rPr>
              <w:t>40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r>
              <w:rPr>
                <w:rFonts w:hint="eastAsia" w:ascii="宋体" w:hAnsi="宋体" w:cs="Calibri"/>
                <w:b/>
                <w:color w:val="auto"/>
                <w:kern w:val="0"/>
                <w:sz w:val="18"/>
                <w:szCs w:val="18"/>
              </w:rPr>
              <w:t>40</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cs="Calibri"/>
                <w:b/>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color w:val="auto"/>
                <w:kern w:val="0"/>
                <w:sz w:val="18"/>
                <w:szCs w:val="18"/>
              </w:rPr>
            </w:pPr>
            <w:r>
              <w:rPr>
                <w:rFonts w:hint="eastAsia" w:cs="Calibri"/>
                <w:b/>
                <w:color w:val="auto"/>
                <w:kern w:val="0"/>
                <w:sz w:val="18"/>
                <w:szCs w:val="18"/>
              </w:rPr>
              <w:t>80</w:t>
            </w:r>
          </w:p>
        </w:tc>
        <w:tc>
          <w:tcPr>
            <w:tcW w:w="99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rFonts w:hint="default"/>
                <w:bCs/>
                <w:color w:val="auto"/>
                <w:kern w:val="0"/>
                <w:sz w:val="18"/>
                <w:szCs w:val="18"/>
                <w:lang w:val="en-US" w:eastAsia="zh-CN"/>
              </w:rPr>
            </w:pPr>
            <w:r>
              <w:rPr>
                <w:rFonts w:hint="eastAsia"/>
                <w:bCs/>
                <w:color w:val="auto"/>
                <w:kern w:val="0"/>
                <w:sz w:val="18"/>
                <w:szCs w:val="18"/>
                <w:lang w:val="en-US" w:eastAsia="zh-CN"/>
              </w:rPr>
              <w:t>32</w:t>
            </w:r>
          </w:p>
        </w:tc>
        <w:tc>
          <w:tcPr>
            <w:tcW w:w="712" w:type="dxa"/>
            <w:vMerge w:val="restart"/>
            <w:tcBorders>
              <w:top w:val="single" w:color="auto" w:sz="4" w:space="0"/>
              <w:left w:val="single" w:color="auto" w:sz="4" w:space="0"/>
              <w:right w:val="single" w:color="auto" w:sz="4" w:space="0"/>
            </w:tcBorders>
          </w:tcPr>
          <w:p>
            <w:pPr>
              <w:jc w:val="center"/>
              <w:rPr>
                <w:rFonts w:hint="eastAsia"/>
                <w:bCs/>
                <w:color w:val="auto"/>
                <w:kern w:val="0"/>
                <w:sz w:val="18"/>
                <w:szCs w:val="18"/>
                <w:lang w:val="en-US" w:eastAsia="zh-CN"/>
              </w:rPr>
            </w:pPr>
          </w:p>
          <w:p>
            <w:pPr>
              <w:jc w:val="center"/>
              <w:rPr>
                <w:rFonts w:hint="eastAsia"/>
                <w:bCs/>
                <w:color w:val="auto"/>
                <w:kern w:val="0"/>
                <w:sz w:val="18"/>
                <w:szCs w:val="18"/>
                <w:lang w:val="en-US" w:eastAsia="zh-CN"/>
              </w:rPr>
            </w:pPr>
          </w:p>
          <w:p>
            <w:pPr>
              <w:jc w:val="center"/>
              <w:rPr>
                <w:rFonts w:hint="default"/>
                <w:bCs/>
                <w:color w:val="auto"/>
                <w:kern w:val="0"/>
                <w:sz w:val="18"/>
                <w:szCs w:val="18"/>
                <w:lang w:val="en-US" w:eastAsia="zh-CN"/>
              </w:rPr>
            </w:pPr>
            <w:r>
              <w:rPr>
                <w:rFonts w:hint="eastAsia"/>
                <w:bCs/>
                <w:color w:val="auto"/>
                <w:kern w:val="0"/>
                <w:sz w:val="18"/>
                <w:szCs w:val="18"/>
                <w:lang w:val="en-US" w:eastAsia="zh-CN"/>
              </w:rPr>
              <w:t>实习实训</w:t>
            </w: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091812</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物业综合技能实训</w:t>
            </w:r>
          </w:p>
        </w:tc>
        <w:tc>
          <w:tcPr>
            <w:tcW w:w="870"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3</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78</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eastAsia="zh-CN"/>
              </w:rPr>
              <w:t>（</w:t>
            </w:r>
            <w:r>
              <w:rPr>
                <w:rFonts w:hint="eastAsia"/>
                <w:color w:val="auto"/>
                <w:kern w:val="0"/>
                <w:sz w:val="18"/>
                <w:szCs w:val="18"/>
                <w:lang w:val="en-US" w:eastAsia="zh-CN"/>
              </w:rPr>
              <w:t>13-15）</w:t>
            </w:r>
          </w:p>
        </w:tc>
        <w:tc>
          <w:tcPr>
            <w:tcW w:w="992" w:type="dxa"/>
            <w:gridSpan w:val="2"/>
            <w:vMerge w:val="continue"/>
            <w:tcBorders>
              <w:left w:val="single" w:color="auto" w:sz="4" w:space="0"/>
              <w:right w:val="single" w:color="auto" w:sz="4" w:space="0"/>
            </w:tcBorders>
            <w:vAlign w:val="center"/>
          </w:tcPr>
          <w:p>
            <w:pPr>
              <w:jc w:val="center"/>
              <w:rPr>
                <w:rFonts w:hint="eastAsia"/>
                <w:color w:val="auto"/>
                <w:kern w:val="0"/>
                <w:sz w:val="18"/>
                <w:szCs w:val="18"/>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rFonts w:hint="default"/>
                <w:bCs/>
                <w:color w:val="auto"/>
                <w:kern w:val="0"/>
                <w:sz w:val="18"/>
                <w:szCs w:val="18"/>
                <w:lang w:val="en-US" w:eastAsia="zh-CN"/>
              </w:rPr>
            </w:pPr>
            <w:r>
              <w:rPr>
                <w:rFonts w:hint="eastAsia"/>
                <w:bCs/>
                <w:color w:val="auto"/>
                <w:kern w:val="0"/>
                <w:sz w:val="18"/>
                <w:szCs w:val="18"/>
                <w:lang w:val="en-US" w:eastAsia="zh-CN"/>
              </w:rPr>
              <w:t>33</w:t>
            </w:r>
          </w:p>
        </w:tc>
        <w:tc>
          <w:tcPr>
            <w:tcW w:w="712" w:type="dxa"/>
            <w:vMerge w:val="continue"/>
            <w:tcBorders>
              <w:left w:val="single" w:color="auto" w:sz="4" w:space="0"/>
              <w:right w:val="single" w:color="auto" w:sz="4" w:space="0"/>
            </w:tcBorders>
          </w:tcPr>
          <w:p>
            <w:pPr>
              <w:jc w:val="center"/>
              <w:rPr>
                <w:rFonts w:hint="eastAsia"/>
                <w:bCs/>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rPr>
            </w:pPr>
            <w:r>
              <w:rPr>
                <w:rFonts w:hint="eastAsia"/>
                <w:color w:val="auto"/>
                <w:kern w:val="0"/>
                <w:sz w:val="18"/>
                <w:szCs w:val="18"/>
                <w:lang w:val="en-US" w:eastAsia="zh-CN"/>
              </w:rPr>
              <w:t>091813</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物业会计基础</w:t>
            </w:r>
          </w:p>
        </w:tc>
        <w:tc>
          <w:tcPr>
            <w:tcW w:w="870"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lang w:val="en-US" w:eastAsia="zh-CN"/>
              </w:rPr>
            </w:pPr>
            <w:r>
              <w:rPr>
                <w:rFonts w:hint="eastAsia"/>
                <w:color w:val="auto"/>
                <w:kern w:val="0"/>
                <w:sz w:val="18"/>
                <w:szCs w:val="18"/>
                <w:lang w:val="en-US" w:eastAsia="zh-CN"/>
              </w:rPr>
              <w:t>1</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26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26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992" w:type="dxa"/>
            <w:gridSpan w:val="2"/>
            <w:vMerge w:val="continue"/>
            <w:tcBorders>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rFonts w:hint="default"/>
                <w:bCs/>
                <w:color w:val="auto"/>
                <w:kern w:val="0"/>
                <w:sz w:val="18"/>
                <w:szCs w:val="18"/>
                <w:lang w:val="en-US" w:eastAsia="zh-CN"/>
              </w:rPr>
            </w:pPr>
            <w:r>
              <w:rPr>
                <w:rFonts w:hint="eastAsia"/>
                <w:bCs/>
                <w:color w:val="auto"/>
                <w:kern w:val="0"/>
                <w:sz w:val="18"/>
                <w:szCs w:val="18"/>
                <w:lang w:val="en-US" w:eastAsia="zh-CN"/>
              </w:rPr>
              <w:t>34</w:t>
            </w:r>
          </w:p>
        </w:tc>
        <w:tc>
          <w:tcPr>
            <w:tcW w:w="712" w:type="dxa"/>
            <w:vMerge w:val="continue"/>
            <w:tcBorders>
              <w:left w:val="single" w:color="auto" w:sz="4" w:space="0"/>
              <w:right w:val="single" w:color="auto" w:sz="4" w:space="0"/>
            </w:tcBorders>
          </w:tcPr>
          <w:p>
            <w:pPr>
              <w:jc w:val="center"/>
              <w:rPr>
                <w:rFonts w:hint="eastAsia"/>
                <w:bCs/>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rPr>
            </w:pPr>
            <w:r>
              <w:rPr>
                <w:rFonts w:hint="eastAsia"/>
                <w:color w:val="auto"/>
                <w:kern w:val="0"/>
                <w:sz w:val="18"/>
                <w:szCs w:val="18"/>
                <w:lang w:val="en-US" w:eastAsia="zh-CN"/>
              </w:rPr>
              <w:t>091814</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专业见习</w:t>
            </w:r>
          </w:p>
        </w:tc>
        <w:tc>
          <w:tcPr>
            <w:tcW w:w="870"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52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lang w:val="en-US" w:eastAsia="zh-CN"/>
              </w:rPr>
              <w:t>52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2周</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rFonts w:hint="default"/>
                <w:bCs/>
                <w:color w:val="auto"/>
                <w:kern w:val="0"/>
                <w:sz w:val="18"/>
                <w:szCs w:val="18"/>
                <w:lang w:val="en-US" w:eastAsia="zh-CN"/>
              </w:rPr>
            </w:pPr>
            <w:r>
              <w:rPr>
                <w:rFonts w:hint="eastAsia"/>
                <w:bCs/>
                <w:color w:val="auto"/>
                <w:kern w:val="0"/>
                <w:sz w:val="18"/>
                <w:szCs w:val="18"/>
                <w:lang w:val="en-US" w:eastAsia="zh-CN"/>
              </w:rPr>
              <w:t>34</w:t>
            </w:r>
          </w:p>
        </w:tc>
        <w:tc>
          <w:tcPr>
            <w:tcW w:w="712" w:type="dxa"/>
            <w:vMerge w:val="continue"/>
            <w:tcBorders>
              <w:left w:val="single" w:color="auto" w:sz="4" w:space="0"/>
              <w:right w:val="single" w:color="auto" w:sz="4" w:space="0"/>
            </w:tcBorders>
          </w:tcPr>
          <w:p>
            <w:pPr>
              <w:jc w:val="center"/>
              <w:rPr>
                <w:rFonts w:hint="eastAsia"/>
                <w:bCs/>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rPr>
            </w:pPr>
            <w:r>
              <w:rPr>
                <w:rFonts w:hint="eastAsia"/>
                <w:color w:val="auto"/>
                <w:kern w:val="0"/>
                <w:sz w:val="18"/>
                <w:szCs w:val="18"/>
                <w:lang w:val="en-US" w:eastAsia="zh-CN"/>
              </w:rPr>
              <w:t>091943</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岗位实习</w:t>
            </w:r>
          </w:p>
        </w:tc>
        <w:tc>
          <w:tcPr>
            <w:tcW w:w="870"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eastAsia="zh-CN"/>
              </w:rPr>
            </w:pPr>
            <w:r>
              <w:rPr>
                <w:rFonts w:hint="eastAsia"/>
                <w:color w:val="auto"/>
                <w:kern w:val="0"/>
                <w:sz w:val="18"/>
                <w:szCs w:val="18"/>
                <w:lang w:val="en-US" w:eastAsia="zh-CN"/>
              </w:rPr>
              <w:t>28</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728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728</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19周</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9周</w:t>
            </w: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rFonts w:hint="eastAsia"/>
                <w:bCs/>
                <w:color w:val="auto"/>
                <w:kern w:val="0"/>
                <w:sz w:val="18"/>
                <w:szCs w:val="18"/>
                <w:lang w:val="en-US" w:eastAsia="zh-CN"/>
              </w:rPr>
            </w:pPr>
          </w:p>
        </w:tc>
        <w:tc>
          <w:tcPr>
            <w:tcW w:w="712" w:type="dxa"/>
            <w:vMerge w:val="continue"/>
            <w:tcBorders>
              <w:left w:val="single" w:color="auto" w:sz="4" w:space="0"/>
              <w:right w:val="single" w:color="auto" w:sz="4" w:space="0"/>
            </w:tcBorders>
          </w:tcPr>
          <w:p>
            <w:pPr>
              <w:jc w:val="center"/>
              <w:rPr>
                <w:rFonts w:hint="eastAsia"/>
                <w:bCs/>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default"/>
                <w:color w:val="auto"/>
                <w:kern w:val="0"/>
                <w:sz w:val="18"/>
                <w:szCs w:val="18"/>
                <w:lang w:val="en-US"/>
              </w:rPr>
            </w:pPr>
            <w:r>
              <w:rPr>
                <w:rFonts w:hint="eastAsia"/>
                <w:color w:val="auto"/>
                <w:kern w:val="0"/>
                <w:sz w:val="18"/>
                <w:szCs w:val="18"/>
                <w:lang w:val="en-US" w:eastAsia="zh-CN"/>
              </w:rPr>
              <w:t>091505</w:t>
            </w: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毕业论文</w:t>
            </w:r>
          </w:p>
        </w:tc>
        <w:tc>
          <w:tcPr>
            <w:tcW w:w="870" w:type="dxa"/>
            <w:tcBorders>
              <w:top w:val="single" w:color="auto" w:sz="4" w:space="0"/>
              <w:left w:val="single" w:color="auto" w:sz="4" w:space="0"/>
              <w:bottom w:val="single" w:color="auto" w:sz="4" w:space="0"/>
              <w:right w:val="single" w:color="auto" w:sz="4" w:space="0"/>
            </w:tcBorders>
          </w:tcPr>
          <w:p>
            <w:pPr>
              <w:jc w:val="center"/>
              <w:rPr>
                <w:rFonts w:hint="eastAsia"/>
                <w:color w:val="auto"/>
                <w:kern w:val="0"/>
                <w:sz w:val="18"/>
                <w:szCs w:val="18"/>
                <w:lang w:val="en-US" w:eastAsia="zh-CN"/>
              </w:rPr>
            </w:pPr>
            <w:r>
              <w:rPr>
                <w:rFonts w:hint="eastAsia"/>
                <w:color w:val="auto"/>
                <w:kern w:val="0"/>
                <w:sz w:val="18"/>
                <w:szCs w:val="18"/>
                <w:lang w:val="en-US" w:eastAsia="zh-CN"/>
              </w:rPr>
              <w:t>2</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32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lang w:val="en-US" w:eastAsia="zh-CN"/>
              </w:rPr>
            </w:pPr>
            <w:r>
              <w:rPr>
                <w:rFonts w:hint="eastAsia"/>
                <w:color w:val="auto"/>
                <w:kern w:val="0"/>
                <w:sz w:val="18"/>
                <w:szCs w:val="18"/>
              </w:rPr>
              <w:t>32</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kern w:val="0"/>
                <w:sz w:val="18"/>
                <w:szCs w:val="18"/>
                <w:lang w:val="en-US" w:eastAsia="zh-CN"/>
              </w:rPr>
            </w:pPr>
            <w:r>
              <w:rPr>
                <w:rFonts w:hint="eastAsia"/>
                <w:color w:val="auto"/>
                <w:kern w:val="0"/>
                <w:sz w:val="18"/>
                <w:szCs w:val="18"/>
                <w:lang w:val="en-US" w:eastAsia="zh-CN"/>
              </w:rPr>
              <w:t>2周</w:t>
            </w:r>
          </w:p>
        </w:tc>
      </w:tr>
      <w:tr>
        <w:tblPrEx>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jc w:val="center"/>
              <w:rPr>
                <w:rFonts w:hint="eastAsia"/>
                <w:bCs/>
                <w:color w:val="auto"/>
                <w:kern w:val="0"/>
                <w:sz w:val="18"/>
                <w:szCs w:val="18"/>
                <w:lang w:val="en-US" w:eastAsia="zh-CN"/>
              </w:rPr>
            </w:pPr>
          </w:p>
        </w:tc>
        <w:tc>
          <w:tcPr>
            <w:tcW w:w="712" w:type="dxa"/>
            <w:vMerge w:val="continue"/>
            <w:tcBorders>
              <w:left w:val="single" w:color="auto" w:sz="4" w:space="0"/>
              <w:bottom w:val="single" w:color="auto" w:sz="4" w:space="0"/>
              <w:right w:val="single" w:color="auto" w:sz="4" w:space="0"/>
            </w:tcBorders>
          </w:tcPr>
          <w:p>
            <w:pPr>
              <w:jc w:val="center"/>
              <w:rPr>
                <w:rFonts w:hint="eastAsia"/>
                <w:bCs/>
                <w:color w:val="auto"/>
                <w:kern w:val="0"/>
                <w:sz w:val="18"/>
                <w:szCs w:val="18"/>
              </w:rPr>
            </w:pPr>
          </w:p>
        </w:tc>
        <w:tc>
          <w:tcPr>
            <w:tcW w:w="841" w:type="dxa"/>
            <w:tcBorders>
              <w:top w:val="single" w:color="auto" w:sz="4" w:space="0"/>
              <w:left w:val="single" w:color="auto" w:sz="4" w:space="0"/>
              <w:bottom w:val="single" w:color="auto" w:sz="4" w:space="0"/>
              <w:right w:val="single" w:color="auto" w:sz="4" w:space="0"/>
            </w:tcBorders>
          </w:tcPr>
          <w:p>
            <w:pPr>
              <w:jc w:val="center"/>
              <w:rPr>
                <w:rFonts w:hint="eastAsia"/>
                <w:bCs/>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rFonts w:hint="default"/>
                <w:b/>
                <w:bCs w:val="0"/>
                <w:color w:val="auto"/>
                <w:kern w:val="0"/>
                <w:sz w:val="18"/>
                <w:szCs w:val="18"/>
                <w:lang w:val="en-US" w:eastAsia="zh-CN"/>
              </w:rPr>
            </w:pPr>
            <w:r>
              <w:rPr>
                <w:rFonts w:hint="eastAsia"/>
                <w:b/>
                <w:bCs w:val="0"/>
                <w:color w:val="auto"/>
                <w:kern w:val="0"/>
                <w:sz w:val="18"/>
                <w:szCs w:val="18"/>
                <w:lang w:val="en-US" w:eastAsia="zh-CN"/>
              </w:rPr>
              <w:t>小计</w:t>
            </w:r>
          </w:p>
        </w:tc>
        <w:tc>
          <w:tcPr>
            <w:tcW w:w="870" w:type="dxa"/>
            <w:tcBorders>
              <w:top w:val="single" w:color="auto" w:sz="4" w:space="0"/>
              <w:left w:val="single" w:color="auto" w:sz="4" w:space="0"/>
              <w:bottom w:val="single" w:color="auto" w:sz="4" w:space="0"/>
              <w:right w:val="single" w:color="auto" w:sz="4" w:space="0"/>
            </w:tcBorders>
          </w:tcPr>
          <w:p>
            <w:pPr>
              <w:jc w:val="center"/>
              <w:rPr>
                <w:rFonts w:hint="default" w:eastAsia="宋体"/>
                <w:b/>
                <w:bCs w:val="0"/>
                <w:color w:val="auto"/>
                <w:kern w:val="0"/>
                <w:sz w:val="18"/>
                <w:szCs w:val="18"/>
                <w:lang w:val="en-US" w:eastAsia="zh-CN"/>
              </w:rPr>
            </w:pPr>
            <w:r>
              <w:rPr>
                <w:rFonts w:hint="eastAsia"/>
                <w:b/>
                <w:bCs w:val="0"/>
                <w:color w:val="auto"/>
                <w:kern w:val="0"/>
                <w:sz w:val="18"/>
                <w:szCs w:val="18"/>
                <w:lang w:val="en-US" w:eastAsia="zh-CN"/>
              </w:rPr>
              <w:t>36</w:t>
            </w:r>
          </w:p>
        </w:tc>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val="0"/>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vAlign w:val="center"/>
          </w:tcPr>
          <w:p>
            <w:pPr>
              <w:jc w:val="center"/>
              <w:rPr>
                <w:rFonts w:hint="eastAsia"/>
                <w:b/>
                <w:bCs w:val="0"/>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bCs w:val="0"/>
                <w:color w:val="auto"/>
                <w:kern w:val="0"/>
                <w:sz w:val="18"/>
                <w:szCs w:val="18"/>
                <w:lang w:val="en-US" w:eastAsia="zh-CN"/>
              </w:rPr>
            </w:pPr>
            <w:r>
              <w:rPr>
                <w:rFonts w:hint="eastAsia"/>
                <w:b/>
                <w:bCs w:val="0"/>
                <w:color w:val="auto"/>
                <w:kern w:val="0"/>
                <w:sz w:val="18"/>
                <w:szCs w:val="18"/>
                <w:lang w:val="en-US" w:eastAsia="zh-CN"/>
              </w:rPr>
              <w:t>916</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
                <w:bCs w:val="0"/>
                <w:color w:val="auto"/>
                <w:kern w:val="0"/>
                <w:sz w:val="18"/>
                <w:szCs w:val="18"/>
                <w:lang w:val="en-US" w:eastAsia="zh-CN"/>
              </w:rPr>
            </w:pPr>
            <w:r>
              <w:rPr>
                <w:rFonts w:hint="eastAsia"/>
                <w:b/>
                <w:bCs w:val="0"/>
                <w:color w:val="auto"/>
                <w:kern w:val="0"/>
                <w:sz w:val="18"/>
                <w:szCs w:val="18"/>
                <w:lang w:val="en-US" w:eastAsia="zh-CN"/>
              </w:rPr>
              <w:t>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bCs w:val="0"/>
                <w:color w:val="auto"/>
                <w:kern w:val="0"/>
                <w:sz w:val="18"/>
                <w:szCs w:val="18"/>
                <w:lang w:val="en-US" w:eastAsia="zh-CN"/>
              </w:rPr>
            </w:pPr>
            <w:r>
              <w:rPr>
                <w:rFonts w:hint="eastAsia"/>
                <w:b/>
                <w:bCs w:val="0"/>
                <w:color w:val="auto"/>
                <w:kern w:val="0"/>
                <w:sz w:val="18"/>
                <w:szCs w:val="18"/>
                <w:lang w:val="en-US" w:eastAsia="zh-CN"/>
              </w:rPr>
              <w:t>916</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bCs/>
                <w:color w:val="auto"/>
                <w:kern w:val="0"/>
                <w:sz w:val="18"/>
                <w:szCs w:val="18"/>
              </w:rPr>
            </w:pPr>
          </w:p>
        </w:tc>
        <w:tc>
          <w:tcPr>
            <w:tcW w:w="992" w:type="dxa"/>
            <w:gridSpan w:val="2"/>
            <w:tcBorders>
              <w:top w:val="single" w:color="auto" w:sz="4" w:space="0"/>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2124" w:type="dxa"/>
            <w:gridSpan w:val="3"/>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36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合计</w:t>
            </w:r>
          </w:p>
        </w:tc>
        <w:tc>
          <w:tcPr>
            <w:tcW w:w="87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lang w:bidi="ar"/>
              </w:rPr>
            </w:pPr>
            <w:r>
              <w:rPr>
                <w:rFonts w:hint="eastAsia" w:cs="Calibri"/>
                <w:b/>
                <w:bCs/>
                <w:color w:val="auto"/>
                <w:kern w:val="0"/>
                <w:sz w:val="18"/>
                <w:szCs w:val="18"/>
                <w:lang w:bidi="ar"/>
              </w:rPr>
              <w:t>138</w:t>
            </w:r>
          </w:p>
        </w:tc>
        <w:tc>
          <w:tcPr>
            <w:tcW w:w="514"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16" w:type="dxa"/>
            <w:tcBorders>
              <w:top w:val="single" w:color="auto" w:sz="4" w:space="0"/>
              <w:left w:val="single" w:color="auto" w:sz="4" w:space="0"/>
              <w:bottom w:val="single" w:color="auto" w:sz="4" w:space="0"/>
              <w:right w:val="single" w:color="auto" w:sz="4" w:space="0"/>
            </w:tcBorders>
          </w:tcPr>
          <w:p>
            <w:pPr>
              <w:jc w:val="center"/>
              <w:rPr>
                <w:rFonts w:cs="Calibri"/>
                <w:b/>
                <w:color w:val="auto"/>
                <w:kern w:val="0"/>
                <w:sz w:val="18"/>
                <w:szCs w:val="18"/>
              </w:rPr>
            </w:pPr>
          </w:p>
        </w:tc>
        <w:tc>
          <w:tcPr>
            <w:tcW w:w="6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lang w:bidi="ar"/>
              </w:rPr>
            </w:pPr>
            <w:r>
              <w:rPr>
                <w:rFonts w:hint="eastAsia" w:cs="Calibri"/>
                <w:b/>
                <w:bCs/>
                <w:color w:val="auto"/>
                <w:kern w:val="0"/>
                <w:sz w:val="18"/>
                <w:szCs w:val="18"/>
                <w:lang w:bidi="ar"/>
              </w:rPr>
              <w:t>2748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kern w:val="0"/>
                <w:sz w:val="18"/>
                <w:szCs w:val="18"/>
                <w:lang w:bidi="ar"/>
              </w:rPr>
            </w:pPr>
            <w:r>
              <w:rPr>
                <w:rFonts w:hint="eastAsia" w:cs="Calibri"/>
                <w:b/>
                <w:bCs/>
                <w:color w:val="auto"/>
                <w:kern w:val="0"/>
                <w:sz w:val="18"/>
                <w:szCs w:val="18"/>
                <w:lang w:bidi="ar"/>
              </w:rPr>
              <w:t>1038</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sz w:val="18"/>
                <w:szCs w:val="18"/>
              </w:rPr>
            </w:pPr>
            <w:r>
              <w:rPr>
                <w:rFonts w:hint="eastAsia" w:cs="Calibri"/>
                <w:b/>
                <w:bCs/>
                <w:color w:val="auto"/>
                <w:sz w:val="18"/>
                <w:szCs w:val="18"/>
              </w:rPr>
              <w:t>17</w:t>
            </w:r>
            <w:r>
              <w:rPr>
                <w:rFonts w:cs="Calibri"/>
                <w:b/>
                <w:bCs/>
                <w:color w:val="auto"/>
                <w:sz w:val="18"/>
                <w:szCs w:val="18"/>
              </w:rPr>
              <w:t>10</w:t>
            </w:r>
          </w:p>
        </w:tc>
        <w:tc>
          <w:tcPr>
            <w:tcW w:w="54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b/>
                <w:bCs/>
                <w:color w:val="auto"/>
                <w:sz w:val="18"/>
                <w:szCs w:val="18"/>
              </w:rPr>
            </w:pPr>
          </w:p>
        </w:tc>
        <w:tc>
          <w:tcPr>
            <w:tcW w:w="992" w:type="dxa"/>
            <w:gridSpan w:val="2"/>
            <w:tcBorders>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trPr>
        <w:tc>
          <w:tcPr>
            <w:tcW w:w="2124" w:type="dxa"/>
            <w:gridSpan w:val="3"/>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olor w:val="auto"/>
                <w:kern w:val="0"/>
                <w:sz w:val="18"/>
                <w:szCs w:val="18"/>
              </w:rPr>
            </w:pPr>
          </w:p>
        </w:tc>
        <w:tc>
          <w:tcPr>
            <w:tcW w:w="12301" w:type="dxa"/>
            <w:gridSpan w:val="13"/>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olor w:val="auto"/>
                <w:sz w:val="24"/>
              </w:rPr>
            </w:pPr>
            <w:r>
              <w:rPr>
                <w:rFonts w:hint="eastAsia" w:ascii="宋体" w:hAnsi="宋体"/>
                <w:color w:val="auto"/>
                <w:kern w:val="0"/>
                <w:sz w:val="18"/>
                <w:szCs w:val="18"/>
              </w:rPr>
              <w:t>毕业考试：课程/毕业设计</w:t>
            </w:r>
          </w:p>
        </w:tc>
      </w:tr>
    </w:tbl>
    <w:p>
      <w:pPr>
        <w:spacing w:line="440" w:lineRule="exact"/>
        <w:rPr>
          <w:rFonts w:ascii="宋体" w:hAnsi="宋体"/>
          <w:b/>
          <w:color w:val="auto"/>
        </w:rPr>
      </w:pPr>
    </w:p>
    <w:bookmarkEnd w:id="2"/>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pStyle w:val="2"/>
        <w:ind w:firstLine="240"/>
      </w:pPr>
    </w:p>
    <w:p>
      <w:pPr>
        <w:spacing w:line="440" w:lineRule="exact"/>
        <w:rPr>
          <w:rFonts w:ascii="宋体" w:hAnsi="宋体"/>
          <w:b/>
          <w:sz w:val="24"/>
        </w:rPr>
      </w:pPr>
      <w:r>
        <w:rPr>
          <w:rFonts w:hint="eastAsia" w:ascii="宋体" w:hAnsi="宋体"/>
          <w:sz w:val="24"/>
        </w:rPr>
        <w:t xml:space="preserve">附表三                                      </w:t>
      </w:r>
      <w:r>
        <w:rPr>
          <w:rFonts w:hint="eastAsia" w:ascii="宋体" w:hAnsi="宋体"/>
          <w:b/>
          <w:sz w:val="24"/>
        </w:rPr>
        <w:t>实习实践教学安排表</w:t>
      </w:r>
    </w:p>
    <w:p>
      <w:pPr>
        <w:spacing w:line="440" w:lineRule="exact"/>
        <w:rPr>
          <w:rFonts w:ascii="宋体" w:hAnsi="宋体"/>
          <w:b/>
          <w:color w:val="000000"/>
          <w:sz w:val="24"/>
        </w:rPr>
      </w:pPr>
    </w:p>
    <w:tbl>
      <w:tblPr>
        <w:tblStyle w:val="11"/>
        <w:tblW w:w="14009" w:type="dxa"/>
        <w:jc w:val="center"/>
        <w:tblLayout w:type="fixed"/>
        <w:tblCellMar>
          <w:top w:w="0" w:type="dxa"/>
          <w:left w:w="108" w:type="dxa"/>
          <w:bottom w:w="0" w:type="dxa"/>
          <w:right w:w="108" w:type="dxa"/>
        </w:tblCellMar>
      </w:tblPr>
      <w:tblGrid>
        <w:gridCol w:w="735"/>
        <w:gridCol w:w="1820"/>
        <w:gridCol w:w="3704"/>
        <w:gridCol w:w="851"/>
        <w:gridCol w:w="851"/>
        <w:gridCol w:w="851"/>
        <w:gridCol w:w="995"/>
        <w:gridCol w:w="4202"/>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sz w:val="18"/>
                <w:szCs w:val="18"/>
              </w:rPr>
            </w:pPr>
            <w:r>
              <w:rPr>
                <w:rFonts w:hint="eastAsia" w:ascii="宋体" w:hAnsi="宋体"/>
                <w:sz w:val="18"/>
                <w:szCs w:val="18"/>
              </w:rPr>
              <w:t>序号</w:t>
            </w:r>
          </w:p>
        </w:tc>
        <w:tc>
          <w:tcPr>
            <w:tcW w:w="182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sz w:val="18"/>
                <w:szCs w:val="18"/>
              </w:rPr>
            </w:pPr>
            <w:r>
              <w:rPr>
                <w:rFonts w:hint="eastAsia" w:ascii="宋体" w:hAnsi="宋体"/>
                <w:sz w:val="18"/>
                <w:szCs w:val="18"/>
              </w:rPr>
              <w:t>类别</w:t>
            </w:r>
          </w:p>
        </w:tc>
        <w:tc>
          <w:tcPr>
            <w:tcW w:w="3704"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sz w:val="18"/>
                <w:szCs w:val="18"/>
              </w:rPr>
            </w:pPr>
            <w:r>
              <w:rPr>
                <w:rFonts w:hint="eastAsia" w:ascii="宋体" w:hAnsi="宋体"/>
                <w:sz w:val="18"/>
                <w:szCs w:val="18"/>
              </w:rPr>
              <w:t>实践教学名称</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sz w:val="18"/>
                <w:szCs w:val="18"/>
              </w:rPr>
              <w:t>学分</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sz w:val="18"/>
                <w:szCs w:val="18"/>
              </w:rPr>
              <w:t>周数</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sz w:val="18"/>
                <w:szCs w:val="18"/>
              </w:rPr>
              <w:t>总学时</w:t>
            </w:r>
          </w:p>
        </w:tc>
        <w:tc>
          <w:tcPr>
            <w:tcW w:w="99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sz w:val="18"/>
                <w:szCs w:val="18"/>
              </w:rPr>
            </w:pPr>
            <w:r>
              <w:rPr>
                <w:rFonts w:hint="eastAsia" w:ascii="宋体" w:hAnsi="宋体"/>
                <w:sz w:val="18"/>
                <w:szCs w:val="18"/>
              </w:rPr>
              <w:t>开设学期</w:t>
            </w:r>
          </w:p>
        </w:tc>
        <w:tc>
          <w:tcPr>
            <w:tcW w:w="4202"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说明</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1</w:t>
            </w:r>
          </w:p>
        </w:tc>
        <w:tc>
          <w:tcPr>
            <w:tcW w:w="182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军事课</w:t>
            </w:r>
          </w:p>
        </w:tc>
        <w:tc>
          <w:tcPr>
            <w:tcW w:w="370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军事技能</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sz w:val="18"/>
                <w:szCs w:val="18"/>
              </w:rPr>
              <w:t>2</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112</w:t>
            </w:r>
          </w:p>
        </w:tc>
        <w:tc>
          <w:tcPr>
            <w:tcW w:w="99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1</w:t>
            </w:r>
          </w:p>
        </w:tc>
        <w:tc>
          <w:tcPr>
            <w:tcW w:w="420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2</w:t>
            </w:r>
          </w:p>
        </w:tc>
        <w:tc>
          <w:tcPr>
            <w:tcW w:w="1820"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社会实践</w:t>
            </w:r>
          </w:p>
        </w:tc>
        <w:tc>
          <w:tcPr>
            <w:tcW w:w="370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kern w:val="0"/>
                <w:sz w:val="18"/>
                <w:szCs w:val="18"/>
              </w:rPr>
              <w:t>思想道德与法治</w:t>
            </w:r>
          </w:p>
        </w:tc>
        <w:tc>
          <w:tcPr>
            <w:tcW w:w="851" w:type="dxa"/>
            <w:vMerge w:val="restart"/>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1</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kern w:val="0"/>
                <w:sz w:val="18"/>
                <w:szCs w:val="18"/>
              </w:rPr>
              <w:t>1</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8</w:t>
            </w:r>
          </w:p>
        </w:tc>
        <w:tc>
          <w:tcPr>
            <w:tcW w:w="99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kern w:val="0"/>
                <w:sz w:val="18"/>
                <w:szCs w:val="18"/>
              </w:rPr>
              <w:t>2</w:t>
            </w:r>
          </w:p>
        </w:tc>
        <w:tc>
          <w:tcPr>
            <w:tcW w:w="4202" w:type="dxa"/>
            <w:vMerge w:val="restart"/>
            <w:tcBorders>
              <w:top w:val="single" w:color="auto" w:sz="4" w:space="0"/>
              <w:left w:val="single" w:color="000000" w:sz="4" w:space="0"/>
              <w:right w:val="single" w:color="auto" w:sz="4" w:space="0"/>
            </w:tcBorders>
            <w:noWrap/>
            <w:vAlign w:val="center"/>
          </w:tcPr>
          <w:p>
            <w:pPr>
              <w:jc w:val="center"/>
              <w:rPr>
                <w:rFonts w:ascii="宋体" w:hAnsi="宋体"/>
                <w:sz w:val="18"/>
                <w:szCs w:val="18"/>
              </w:rPr>
            </w:pPr>
            <w:r>
              <w:rPr>
                <w:rFonts w:hint="eastAsia" w:ascii="宋体" w:hAnsi="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宋体" w:hAnsi="宋体"/>
                <w:sz w:val="18"/>
                <w:szCs w:val="18"/>
              </w:rPr>
            </w:pPr>
          </w:p>
        </w:tc>
        <w:tc>
          <w:tcPr>
            <w:tcW w:w="1820" w:type="dxa"/>
            <w:vMerge w:val="continue"/>
            <w:tcBorders>
              <w:left w:val="single" w:color="000000" w:sz="4" w:space="0"/>
              <w:right w:val="single" w:color="auto" w:sz="4" w:space="0"/>
            </w:tcBorders>
            <w:noWrap/>
            <w:vAlign w:val="center"/>
          </w:tcPr>
          <w:p>
            <w:pPr>
              <w:spacing w:line="440" w:lineRule="exact"/>
              <w:jc w:val="center"/>
              <w:rPr>
                <w:rFonts w:ascii="宋体" w:hAnsi="宋体"/>
                <w:sz w:val="18"/>
                <w:szCs w:val="18"/>
              </w:rPr>
            </w:pPr>
          </w:p>
        </w:tc>
        <w:tc>
          <w:tcPr>
            <w:tcW w:w="370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kern w:val="0"/>
                <w:sz w:val="18"/>
                <w:szCs w:val="18"/>
              </w:rPr>
              <w:t>毛泽东思想和中国特色社会主义理论体系概论</w:t>
            </w:r>
          </w:p>
        </w:tc>
        <w:tc>
          <w:tcPr>
            <w:tcW w:w="851" w:type="dxa"/>
            <w:vMerge w:val="continue"/>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宋体" w:hAnsi="宋体"/>
                <w:kern w:val="0"/>
                <w:sz w:val="18"/>
                <w:szCs w:val="18"/>
              </w:rPr>
            </w:pPr>
          </w:p>
        </w:tc>
        <w:tc>
          <w:tcPr>
            <w:tcW w:w="851"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kern w:val="0"/>
                <w:sz w:val="18"/>
                <w:szCs w:val="18"/>
              </w:rPr>
              <w:t>1</w:t>
            </w:r>
          </w:p>
        </w:tc>
        <w:tc>
          <w:tcPr>
            <w:tcW w:w="851"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4</w:t>
            </w:r>
          </w:p>
        </w:tc>
        <w:tc>
          <w:tcPr>
            <w:tcW w:w="995" w:type="dxa"/>
            <w:tcBorders>
              <w:top w:val="single" w:color="auto" w:sz="4" w:space="0"/>
              <w:left w:val="single" w:color="000000"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kern w:val="0"/>
                <w:sz w:val="18"/>
                <w:szCs w:val="18"/>
              </w:rPr>
              <w:t>3</w:t>
            </w:r>
          </w:p>
        </w:tc>
        <w:tc>
          <w:tcPr>
            <w:tcW w:w="4202" w:type="dxa"/>
            <w:vMerge w:val="continue"/>
            <w:tcBorders>
              <w:left w:val="single" w:color="000000"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p>
        </w:tc>
        <w:tc>
          <w:tcPr>
            <w:tcW w:w="1820"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p>
        </w:tc>
        <w:tc>
          <w:tcPr>
            <w:tcW w:w="370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kern w:val="0"/>
                <w:sz w:val="18"/>
                <w:szCs w:val="18"/>
              </w:rPr>
              <w:t>习近平新时代中国特色社会主义思想概论</w:t>
            </w:r>
          </w:p>
        </w:tc>
        <w:tc>
          <w:tcPr>
            <w:tcW w:w="851" w:type="dxa"/>
            <w:vMerge w:val="continue"/>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宋体" w:hAnsi="宋体"/>
                <w:kern w:val="0"/>
                <w:sz w:val="18"/>
                <w:szCs w:val="18"/>
              </w:rPr>
            </w:pPr>
          </w:p>
        </w:tc>
        <w:tc>
          <w:tcPr>
            <w:tcW w:w="851"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宋体" w:hAnsi="宋体"/>
                <w:sz w:val="18"/>
                <w:szCs w:val="18"/>
              </w:rPr>
            </w:pPr>
            <w:r>
              <w:rPr>
                <w:rFonts w:hint="eastAsia" w:ascii="宋体" w:hAnsi="宋体"/>
                <w:kern w:val="0"/>
                <w:sz w:val="18"/>
                <w:szCs w:val="18"/>
              </w:rPr>
              <w:t>1</w:t>
            </w:r>
          </w:p>
        </w:tc>
        <w:tc>
          <w:tcPr>
            <w:tcW w:w="851" w:type="dxa"/>
            <w:tcBorders>
              <w:top w:val="single" w:color="auto" w:sz="4" w:space="0"/>
              <w:left w:val="single" w:color="000000" w:sz="4" w:space="0"/>
              <w:bottom w:val="single" w:color="auto" w:sz="4" w:space="0"/>
              <w:right w:val="single" w:color="000000"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8</w:t>
            </w:r>
          </w:p>
        </w:tc>
        <w:tc>
          <w:tcPr>
            <w:tcW w:w="995" w:type="dxa"/>
            <w:tcBorders>
              <w:top w:val="single" w:color="auto" w:sz="4" w:space="0"/>
              <w:left w:val="single" w:color="000000"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kern w:val="0"/>
                <w:sz w:val="18"/>
                <w:szCs w:val="18"/>
              </w:rPr>
              <w:t>3</w:t>
            </w:r>
          </w:p>
        </w:tc>
        <w:tc>
          <w:tcPr>
            <w:tcW w:w="4202" w:type="dxa"/>
            <w:vMerge w:val="continue"/>
            <w:tcBorders>
              <w:left w:val="single" w:color="000000"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11"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3</w:t>
            </w:r>
          </w:p>
        </w:tc>
        <w:tc>
          <w:tcPr>
            <w:tcW w:w="1820"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实验实训周</w:t>
            </w:r>
          </w:p>
        </w:tc>
        <w:tc>
          <w:tcPr>
            <w:tcW w:w="3704"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物业综合技能实训</w:t>
            </w:r>
          </w:p>
        </w:tc>
        <w:tc>
          <w:tcPr>
            <w:tcW w:w="851" w:type="dxa"/>
            <w:tcBorders>
              <w:top w:val="single" w:color="auto" w:sz="4" w:space="0"/>
              <w:left w:val="single" w:color="auto" w:sz="4" w:space="0"/>
              <w:right w:val="single" w:color="auto"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3</w:t>
            </w:r>
          </w:p>
        </w:tc>
        <w:tc>
          <w:tcPr>
            <w:tcW w:w="851" w:type="dxa"/>
            <w:tcBorders>
              <w:top w:val="single" w:color="auto" w:sz="4" w:space="0"/>
              <w:left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3</w:t>
            </w:r>
          </w:p>
        </w:tc>
        <w:tc>
          <w:tcPr>
            <w:tcW w:w="851" w:type="dxa"/>
            <w:tcBorders>
              <w:top w:val="single" w:color="auto" w:sz="4" w:space="0"/>
              <w:left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78</w:t>
            </w:r>
          </w:p>
        </w:tc>
        <w:tc>
          <w:tcPr>
            <w:tcW w:w="995" w:type="dxa"/>
            <w:tcBorders>
              <w:top w:val="single" w:color="auto" w:sz="4" w:space="0"/>
              <w:left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4</w:t>
            </w:r>
          </w:p>
        </w:tc>
        <w:tc>
          <w:tcPr>
            <w:tcW w:w="420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物业模拟经营软件</w:t>
            </w:r>
          </w:p>
        </w:tc>
      </w:tr>
      <w:tr>
        <w:tblPrEx>
          <w:tblCellMar>
            <w:top w:w="0" w:type="dxa"/>
            <w:left w:w="108" w:type="dxa"/>
            <w:bottom w:w="0" w:type="dxa"/>
            <w:right w:w="108" w:type="dxa"/>
          </w:tblCellMar>
        </w:tblPrEx>
        <w:trPr>
          <w:trHeight w:val="187"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宋体" w:hAnsi="宋体"/>
                <w:sz w:val="18"/>
                <w:szCs w:val="18"/>
              </w:rPr>
            </w:pPr>
          </w:p>
        </w:tc>
        <w:tc>
          <w:tcPr>
            <w:tcW w:w="1820" w:type="dxa"/>
            <w:vMerge w:val="continue"/>
            <w:tcBorders>
              <w:left w:val="single" w:color="000000" w:sz="4" w:space="0"/>
              <w:right w:val="single" w:color="auto" w:sz="4" w:space="0"/>
            </w:tcBorders>
            <w:noWrap/>
            <w:vAlign w:val="center"/>
          </w:tcPr>
          <w:p>
            <w:pPr>
              <w:spacing w:line="440" w:lineRule="exact"/>
              <w:jc w:val="center"/>
              <w:rPr>
                <w:rFonts w:ascii="宋体" w:hAnsi="宋体"/>
                <w:sz w:val="18"/>
                <w:szCs w:val="18"/>
              </w:rPr>
            </w:pPr>
          </w:p>
        </w:tc>
        <w:tc>
          <w:tcPr>
            <w:tcW w:w="3704"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物业会计基础</w:t>
            </w:r>
          </w:p>
        </w:tc>
        <w:tc>
          <w:tcPr>
            <w:tcW w:w="851" w:type="dxa"/>
            <w:tcBorders>
              <w:top w:val="single" w:color="auto" w:sz="4" w:space="0"/>
              <w:left w:val="single" w:color="auto" w:sz="4" w:space="0"/>
              <w:right w:val="single" w:color="auto" w:sz="4" w:space="0"/>
            </w:tcBorders>
            <w:vAlign w:val="center"/>
          </w:tcPr>
          <w:p>
            <w:pPr>
              <w:spacing w:line="440" w:lineRule="exact"/>
              <w:jc w:val="center"/>
              <w:textAlignment w:val="baseline"/>
              <w:rPr>
                <w:rFonts w:ascii="宋体" w:hAnsi="宋体"/>
                <w:kern w:val="0"/>
                <w:sz w:val="18"/>
                <w:szCs w:val="18"/>
              </w:rPr>
            </w:pPr>
            <w:r>
              <w:rPr>
                <w:rFonts w:hint="eastAsia" w:ascii="宋体" w:hAnsi="宋体"/>
                <w:kern w:val="0"/>
                <w:sz w:val="18"/>
                <w:szCs w:val="18"/>
              </w:rPr>
              <w:t>1</w:t>
            </w:r>
          </w:p>
        </w:tc>
        <w:tc>
          <w:tcPr>
            <w:tcW w:w="851" w:type="dxa"/>
            <w:tcBorders>
              <w:top w:val="single" w:color="auto" w:sz="4" w:space="0"/>
              <w:left w:val="single" w:color="auto" w:sz="4" w:space="0"/>
              <w:right w:val="single" w:color="auto" w:sz="4" w:space="0"/>
            </w:tcBorders>
            <w:vAlign w:val="center"/>
          </w:tcPr>
          <w:p>
            <w:pPr>
              <w:spacing w:line="440" w:lineRule="exact"/>
              <w:jc w:val="center"/>
              <w:textAlignment w:val="baseline"/>
              <w:rPr>
                <w:rFonts w:ascii="宋体" w:hAnsi="宋体"/>
                <w:sz w:val="18"/>
                <w:szCs w:val="18"/>
              </w:rPr>
            </w:pPr>
            <w:r>
              <w:rPr>
                <w:rFonts w:hint="eastAsia" w:ascii="宋体" w:hAnsi="宋体"/>
                <w:sz w:val="18"/>
                <w:szCs w:val="18"/>
              </w:rPr>
              <w:t>1</w:t>
            </w:r>
          </w:p>
        </w:tc>
        <w:tc>
          <w:tcPr>
            <w:tcW w:w="851" w:type="dxa"/>
            <w:tcBorders>
              <w:top w:val="single" w:color="auto" w:sz="4" w:space="0"/>
              <w:left w:val="single" w:color="auto" w:sz="4" w:space="0"/>
              <w:right w:val="single" w:color="auto" w:sz="4" w:space="0"/>
            </w:tcBorders>
            <w:vAlign w:val="center"/>
          </w:tcPr>
          <w:p>
            <w:pPr>
              <w:spacing w:line="440" w:lineRule="exact"/>
              <w:jc w:val="center"/>
              <w:textAlignment w:val="baseline"/>
              <w:rPr>
                <w:rFonts w:ascii="宋体" w:hAnsi="宋体"/>
                <w:sz w:val="18"/>
                <w:szCs w:val="18"/>
              </w:rPr>
            </w:pPr>
            <w:r>
              <w:rPr>
                <w:rFonts w:hint="eastAsia" w:ascii="宋体" w:hAnsi="宋体"/>
                <w:sz w:val="18"/>
                <w:szCs w:val="18"/>
              </w:rPr>
              <w:t>26</w:t>
            </w:r>
          </w:p>
        </w:tc>
        <w:tc>
          <w:tcPr>
            <w:tcW w:w="995" w:type="dxa"/>
            <w:tcBorders>
              <w:top w:val="single" w:color="auto" w:sz="4" w:space="0"/>
              <w:left w:val="single" w:color="auto" w:sz="4" w:space="0"/>
              <w:right w:val="single" w:color="auto" w:sz="4" w:space="0"/>
            </w:tcBorders>
            <w:noWrap/>
            <w:vAlign w:val="center"/>
          </w:tcPr>
          <w:p>
            <w:pPr>
              <w:spacing w:line="440" w:lineRule="exact"/>
              <w:jc w:val="center"/>
              <w:textAlignment w:val="baseline"/>
              <w:rPr>
                <w:rFonts w:ascii="宋体" w:hAnsi="宋体"/>
                <w:sz w:val="18"/>
                <w:szCs w:val="18"/>
              </w:rPr>
            </w:pPr>
            <w:r>
              <w:rPr>
                <w:rFonts w:hint="eastAsia" w:ascii="宋体" w:hAnsi="宋体"/>
                <w:sz w:val="18"/>
                <w:szCs w:val="18"/>
              </w:rPr>
              <w:t>3</w:t>
            </w:r>
          </w:p>
        </w:tc>
        <w:tc>
          <w:tcPr>
            <w:tcW w:w="420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4</w:t>
            </w:r>
          </w:p>
        </w:tc>
        <w:tc>
          <w:tcPr>
            <w:tcW w:w="1820" w:type="dxa"/>
            <w:vMerge w:val="restart"/>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专业见习</w:t>
            </w:r>
          </w:p>
        </w:tc>
        <w:tc>
          <w:tcPr>
            <w:tcW w:w="3704" w:type="dxa"/>
            <w:vMerge w:val="restart"/>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认识实习</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 w:val="18"/>
                <w:szCs w:val="18"/>
              </w:rPr>
            </w:pPr>
            <w:r>
              <w:rPr>
                <w:rFonts w:hint="eastAsia" w:ascii="宋体" w:hAnsi="宋体"/>
                <w:kern w:val="0"/>
                <w:sz w:val="18"/>
                <w:szCs w:val="18"/>
              </w:rPr>
              <w:t>2</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2</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52</w:t>
            </w:r>
          </w:p>
        </w:tc>
        <w:tc>
          <w:tcPr>
            <w:tcW w:w="995" w:type="dxa"/>
            <w:vMerge w:val="restart"/>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hint="eastAsia" w:ascii="宋体" w:hAnsi="宋体" w:eastAsia="宋体"/>
                <w:sz w:val="18"/>
                <w:szCs w:val="18"/>
                <w:lang w:val="en-US" w:eastAsia="zh-CN"/>
              </w:rPr>
            </w:pPr>
            <w:r>
              <w:rPr>
                <w:rFonts w:hint="eastAsia" w:ascii="宋体" w:hAnsi="宋体"/>
                <w:sz w:val="18"/>
                <w:szCs w:val="18"/>
                <w:lang w:val="en-US" w:eastAsia="zh-CN"/>
              </w:rPr>
              <w:t>5</w:t>
            </w:r>
          </w:p>
        </w:tc>
        <w:tc>
          <w:tcPr>
            <w:tcW w:w="4202" w:type="dxa"/>
            <w:vMerge w:val="restart"/>
            <w:tcBorders>
              <w:top w:val="single" w:color="auto" w:sz="4" w:space="0"/>
              <w:left w:val="single" w:color="auto"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5</w:t>
            </w:r>
          </w:p>
        </w:tc>
        <w:tc>
          <w:tcPr>
            <w:tcW w:w="1820" w:type="dxa"/>
            <w:vMerge w:val="continue"/>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c>
          <w:tcPr>
            <w:tcW w:w="3704" w:type="dxa"/>
            <w:vMerge w:val="continue"/>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kern w:val="0"/>
                <w:sz w:val="18"/>
                <w:szCs w:val="18"/>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p>
        </w:tc>
        <w:tc>
          <w:tcPr>
            <w:tcW w:w="995" w:type="dxa"/>
            <w:vMerge w:val="continue"/>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c>
          <w:tcPr>
            <w:tcW w:w="4202" w:type="dxa"/>
            <w:vMerge w:val="continue"/>
            <w:tcBorders>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6</w:t>
            </w:r>
          </w:p>
        </w:tc>
        <w:tc>
          <w:tcPr>
            <w:tcW w:w="182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岗位实习</w:t>
            </w:r>
          </w:p>
        </w:tc>
        <w:tc>
          <w:tcPr>
            <w:tcW w:w="370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岗位实习</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28</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28</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728</w:t>
            </w:r>
          </w:p>
        </w:tc>
        <w:tc>
          <w:tcPr>
            <w:tcW w:w="99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5-6</w:t>
            </w:r>
          </w:p>
        </w:tc>
        <w:tc>
          <w:tcPr>
            <w:tcW w:w="420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7</w:t>
            </w:r>
          </w:p>
        </w:tc>
        <w:tc>
          <w:tcPr>
            <w:tcW w:w="182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毕业论文</w:t>
            </w:r>
          </w:p>
        </w:tc>
        <w:tc>
          <w:tcPr>
            <w:tcW w:w="370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专业综合能力达标测试</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2</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32</w:t>
            </w:r>
          </w:p>
        </w:tc>
        <w:tc>
          <w:tcPr>
            <w:tcW w:w="99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r>
              <w:rPr>
                <w:rFonts w:hint="eastAsia" w:ascii="宋体" w:hAnsi="宋体"/>
                <w:sz w:val="18"/>
                <w:szCs w:val="18"/>
              </w:rPr>
              <w:t>6</w:t>
            </w:r>
          </w:p>
        </w:tc>
        <w:tc>
          <w:tcPr>
            <w:tcW w:w="420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r>
      <w:tr>
        <w:tblPrEx>
          <w:tblCellMar>
            <w:top w:w="0" w:type="dxa"/>
            <w:left w:w="108" w:type="dxa"/>
            <w:bottom w:w="0" w:type="dxa"/>
            <w:right w:w="108" w:type="dxa"/>
          </w:tblCellMar>
        </w:tblPrEx>
        <w:trPr>
          <w:trHeight w:val="360" w:hRule="atLeast"/>
          <w:jc w:val="center"/>
        </w:trPr>
        <w:tc>
          <w:tcPr>
            <w:tcW w:w="6259" w:type="dxa"/>
            <w:gridSpan w:val="3"/>
            <w:tcBorders>
              <w:top w:val="single" w:color="auto" w:sz="4" w:space="0"/>
              <w:left w:val="single" w:color="auto" w:sz="4" w:space="0"/>
              <w:bottom w:val="single" w:color="auto" w:sz="4" w:space="0"/>
              <w:right w:val="single" w:color="auto" w:sz="4" w:space="0"/>
            </w:tcBorders>
            <w:noWrap/>
            <w:vAlign w:val="center"/>
          </w:tcPr>
          <w:p>
            <w:pPr>
              <w:spacing w:line="440" w:lineRule="exact"/>
              <w:ind w:firstLine="1890" w:firstLineChars="1050"/>
              <w:jc w:val="center"/>
              <w:rPr>
                <w:rFonts w:ascii="宋体" w:hAnsi="宋体"/>
                <w:sz w:val="18"/>
                <w:szCs w:val="18"/>
              </w:rPr>
            </w:pPr>
            <w:r>
              <w:rPr>
                <w:rFonts w:hint="eastAsia" w:ascii="宋体" w:hAnsi="宋体"/>
                <w:sz w:val="18"/>
                <w:szCs w:val="18"/>
              </w:rPr>
              <w:t>合计</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39</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41</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18"/>
                <w:szCs w:val="18"/>
              </w:rPr>
            </w:pPr>
            <w:r>
              <w:rPr>
                <w:rFonts w:hint="eastAsia" w:ascii="宋体" w:hAnsi="宋体"/>
                <w:sz w:val="18"/>
                <w:szCs w:val="18"/>
              </w:rPr>
              <w:t>1048</w:t>
            </w:r>
          </w:p>
        </w:tc>
        <w:tc>
          <w:tcPr>
            <w:tcW w:w="99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c>
          <w:tcPr>
            <w:tcW w:w="420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sz w:val="18"/>
                <w:szCs w:val="18"/>
              </w:rPr>
            </w:pPr>
          </w:p>
        </w:tc>
      </w:tr>
    </w:tbl>
    <w:p>
      <w:pPr>
        <w:spacing w:line="440" w:lineRule="exact"/>
        <w:jc w:val="center"/>
        <w:rPr>
          <w:rFonts w:ascii="宋体" w:hAnsi="宋体"/>
          <w:b/>
          <w:sz w:val="24"/>
        </w:rPr>
      </w:pPr>
    </w:p>
    <w:p>
      <w:pPr>
        <w:spacing w:line="440" w:lineRule="exact"/>
        <w:jc w:val="center"/>
        <w:rPr>
          <w:rFonts w:ascii="宋体" w:hAnsi="宋体"/>
          <w:b/>
          <w:sz w:val="24"/>
        </w:rPr>
      </w:pPr>
    </w:p>
    <w:p>
      <w:pPr>
        <w:spacing w:line="440" w:lineRule="exact"/>
        <w:jc w:val="center"/>
        <w:rPr>
          <w:rFonts w:ascii="宋体" w:hAnsi="宋体"/>
          <w:sz w:val="24"/>
        </w:rPr>
      </w:pPr>
      <w:r>
        <w:rPr>
          <w:rFonts w:ascii="宋体" w:hAnsi="宋体"/>
          <w:sz w:val="24"/>
        </w:rPr>
        <w:br w:type="page"/>
      </w:r>
    </w:p>
    <w:bookmarkEnd w:id="1"/>
    <w:p>
      <w:pPr>
        <w:spacing w:line="440" w:lineRule="exact"/>
        <w:rPr>
          <w:rFonts w:ascii="宋体" w:hAnsi="宋体"/>
          <w:b/>
          <w:sz w:val="24"/>
        </w:rPr>
        <w:sectPr>
          <w:pgSz w:w="16838" w:h="11906" w:orient="landscape"/>
          <w:pgMar w:top="1304" w:right="1440" w:bottom="1361" w:left="1440" w:header="851" w:footer="992" w:gutter="0"/>
          <w:cols w:space="720" w:num="1"/>
          <w:docGrid w:type="lines" w:linePitch="312" w:charSpace="0"/>
        </w:sectPr>
      </w:pPr>
    </w:p>
    <w:p>
      <w:pPr>
        <w:jc w:val="left"/>
        <w:rPr>
          <w:rStyle w:val="16"/>
          <w:rFonts w:ascii="仿宋" w:hAnsi="仿宋" w:eastAsia="仿宋"/>
          <w:sz w:val="32"/>
          <w:szCs w:val="32"/>
        </w:rPr>
      </w:pPr>
      <w:r>
        <w:rPr>
          <w:rStyle w:val="16"/>
          <w:rFonts w:hint="eastAsia" w:ascii="仿宋" w:hAnsi="仿宋" w:eastAsia="仿宋"/>
          <w:sz w:val="32"/>
          <w:szCs w:val="32"/>
        </w:rPr>
        <w:t>附表四</w:t>
      </w:r>
    </w:p>
    <w:p>
      <w:pPr>
        <w:jc w:val="center"/>
        <w:rPr>
          <w:rStyle w:val="16"/>
          <w:rFonts w:ascii="仿宋" w:hAnsi="仿宋" w:eastAsia="仿宋"/>
          <w:sz w:val="32"/>
          <w:szCs w:val="32"/>
        </w:rPr>
      </w:pPr>
      <w:r>
        <w:rPr>
          <w:rStyle w:val="16"/>
          <w:rFonts w:hint="eastAsia" w:ascii="仿宋" w:hAnsi="仿宋" w:eastAsia="仿宋"/>
          <w:sz w:val="32"/>
          <w:szCs w:val="32"/>
        </w:rPr>
        <w:t>公共选修课程</w:t>
      </w:r>
    </w:p>
    <w:tbl>
      <w:tblPr>
        <w:tblStyle w:val="11"/>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lang w:bidi="ar"/>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w:t>
            </w:r>
            <w:r>
              <w:rPr>
                <w:rStyle w:val="16"/>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lang w:bidi="ar"/>
              </w:rPr>
              <w:t>经济学百年</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16"/>
                <w:szCs w:val="22"/>
                <w:lang w:bidi="ar"/>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Fonts w:hint="eastAsia"/>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lang w:bidi="ar"/>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sz w:val="22"/>
                <w:szCs w:val="22"/>
              </w:rPr>
            </w:pPr>
            <w:r>
              <w:rPr>
                <w:rFonts w:hint="eastAsia" w:ascii="宋体" w:hAnsi="宋体"/>
                <w:kern w:val="0"/>
                <w:sz w:val="22"/>
                <w:szCs w:val="22"/>
                <w:lang w:bidi="ar"/>
              </w:rPr>
              <w:t>舌尖上的植物学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6"/>
                <w:rFonts w:hint="eastAsia" w:ascii="宋体" w:hAnsi="宋体"/>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6"/>
                <w:rFonts w:hint="eastAsia" w:ascii="宋体" w:hAnsi="宋体"/>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党史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bCs/>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bCs/>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bCs/>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ascii="宋体" w:hAnsi="宋体"/>
                <w:kern w:val="0"/>
                <w:szCs w:val="21"/>
              </w:rPr>
              <w:t>书</w:t>
            </w:r>
            <w:r>
              <w:rPr>
                <w:rStyle w:val="16"/>
                <w:rFonts w:hint="eastAsia" w:ascii="宋体" w:hAnsi="宋体"/>
                <w:kern w:val="0"/>
                <w:szCs w:val="21"/>
              </w:rPr>
              <w:t>法</w:t>
            </w:r>
            <w:r>
              <w:rPr>
                <w:rStyle w:val="16"/>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戏剧</w:t>
            </w:r>
            <w:r>
              <w:rPr>
                <w:rStyle w:val="16"/>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6"/>
                <w:rFonts w:hint="eastAsia" w:ascii="宋体" w:hAnsi="宋体"/>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戏曲鉴赏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公共选修课程采用动态管理方式，根据实际需要按照学年进行调整</w:t>
            </w:r>
          </w:p>
        </w:tc>
      </w:tr>
    </w:tbl>
    <w:p>
      <w:pPr>
        <w:ind w:firstLine="640" w:firstLineChars="200"/>
        <w:rPr>
          <w:rStyle w:val="16"/>
          <w:rFonts w:ascii="仿宋" w:hAnsi="仿宋" w:eastAsia="仿宋"/>
          <w:sz w:val="32"/>
          <w:szCs w:val="32"/>
        </w:rPr>
      </w:pPr>
      <w:r>
        <w:rPr>
          <w:rStyle w:val="16"/>
          <w:rFonts w:hint="eastAsia" w:ascii="仿宋" w:hAnsi="仿宋" w:eastAsia="仿宋"/>
          <w:sz w:val="32"/>
          <w:szCs w:val="32"/>
        </w:rPr>
        <w:t>注：</w:t>
      </w:r>
      <w:r>
        <w:rPr>
          <w:rStyle w:val="16"/>
          <w:rFonts w:ascii="仿宋" w:hAnsi="仿宋" w:eastAsia="仿宋"/>
          <w:sz w:val="32"/>
          <w:szCs w:val="32"/>
        </w:rPr>
        <w:t>学生在1-4学期</w:t>
      </w:r>
      <w:r>
        <w:rPr>
          <w:rStyle w:val="16"/>
          <w:rFonts w:hint="eastAsia" w:ascii="仿宋" w:hAnsi="仿宋" w:eastAsia="仿宋"/>
          <w:sz w:val="32"/>
          <w:szCs w:val="32"/>
        </w:rPr>
        <w:t>，需要在选修课模块中任选修读完成6个以上学分课程，其中限选课至少完成3学分。</w:t>
      </w: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pStyle w:val="2"/>
        <w:ind w:firstLine="320"/>
        <w:rPr>
          <w:rStyle w:val="16"/>
          <w:rFonts w:ascii="仿宋" w:hAnsi="仿宋" w:eastAsia="仿宋"/>
          <w:sz w:val="32"/>
          <w:szCs w:val="32"/>
        </w:rPr>
      </w:pPr>
    </w:p>
    <w:p>
      <w:pPr>
        <w:pStyle w:val="2"/>
        <w:ind w:firstLine="320"/>
        <w:rPr>
          <w:rStyle w:val="16"/>
          <w:rFonts w:ascii="仿宋" w:hAnsi="仿宋" w:eastAsia="仿宋"/>
          <w:sz w:val="32"/>
          <w:szCs w:val="32"/>
        </w:rPr>
      </w:pPr>
    </w:p>
    <w:p>
      <w:pPr>
        <w:pStyle w:val="2"/>
        <w:ind w:firstLine="320"/>
        <w:rPr>
          <w:rStyle w:val="16"/>
          <w:rFonts w:ascii="仿宋" w:hAnsi="仿宋" w:eastAsia="仿宋"/>
          <w:sz w:val="32"/>
          <w:szCs w:val="32"/>
        </w:rPr>
      </w:pPr>
    </w:p>
    <w:p>
      <w:pPr>
        <w:jc w:val="left"/>
        <w:rPr>
          <w:sz w:val="32"/>
          <w:szCs w:val="32"/>
        </w:rPr>
      </w:pPr>
      <w:r>
        <w:rPr>
          <w:rStyle w:val="16"/>
          <w:rFonts w:hint="eastAsia" w:ascii="仿宋" w:hAnsi="仿宋" w:eastAsia="仿宋"/>
          <w:sz w:val="32"/>
          <w:szCs w:val="32"/>
        </w:rPr>
        <w:t>附表五</w:t>
      </w:r>
    </w:p>
    <w:p>
      <w:pPr>
        <w:jc w:val="center"/>
        <w:rPr>
          <w:rStyle w:val="16"/>
          <w:rFonts w:ascii="仿宋" w:hAnsi="仿宋" w:eastAsia="仿宋"/>
        </w:rPr>
      </w:pPr>
      <w:r>
        <w:rPr>
          <w:rStyle w:val="16"/>
          <w:rFonts w:hint="eastAsia" w:ascii="仿宋" w:hAnsi="仿宋" w:eastAsia="仿宋"/>
          <w:sz w:val="32"/>
          <w:szCs w:val="32"/>
        </w:rPr>
        <w:t>学时比例表</w:t>
      </w:r>
    </w:p>
    <w:tbl>
      <w:tblPr>
        <w:tblStyle w:val="12"/>
        <w:tblW w:w="50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705"/>
        <w:gridCol w:w="846"/>
        <w:gridCol w:w="1562"/>
        <w:gridCol w:w="1849"/>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Merge w:val="restart"/>
            <w:vAlign w:val="center"/>
          </w:tcPr>
          <w:p>
            <w:pPr>
              <w:jc w:val="center"/>
              <w:rPr>
                <w:b/>
              </w:rPr>
            </w:pPr>
            <w:r>
              <w:rPr>
                <w:rFonts w:hint="eastAsia"/>
                <w:b/>
              </w:rPr>
              <w:t>课程模块</w:t>
            </w:r>
          </w:p>
        </w:tc>
        <w:tc>
          <w:tcPr>
            <w:tcW w:w="372" w:type="pct"/>
            <w:vMerge w:val="restart"/>
            <w:vAlign w:val="center"/>
          </w:tcPr>
          <w:p>
            <w:pPr>
              <w:jc w:val="center"/>
              <w:rPr>
                <w:b/>
              </w:rPr>
            </w:pPr>
            <w:r>
              <w:rPr>
                <w:rFonts w:hint="eastAsia"/>
                <w:b/>
              </w:rPr>
              <w:t>学分</w:t>
            </w:r>
          </w:p>
        </w:tc>
        <w:tc>
          <w:tcPr>
            <w:tcW w:w="446" w:type="pct"/>
            <w:vMerge w:val="restart"/>
            <w:vAlign w:val="center"/>
          </w:tcPr>
          <w:p>
            <w:pPr>
              <w:jc w:val="center"/>
              <w:rPr>
                <w:b/>
              </w:rPr>
            </w:pPr>
            <w:r>
              <w:rPr>
                <w:rFonts w:hint="eastAsia"/>
                <w:b/>
              </w:rPr>
              <w:t>总学时</w:t>
            </w:r>
          </w:p>
        </w:tc>
        <w:tc>
          <w:tcPr>
            <w:tcW w:w="1799" w:type="pct"/>
            <w:gridSpan w:val="2"/>
          </w:tcPr>
          <w:p>
            <w:pPr>
              <w:jc w:val="center"/>
              <w:rPr>
                <w:b/>
              </w:rPr>
            </w:pPr>
            <w:r>
              <w:rPr>
                <w:rFonts w:hint="eastAsia"/>
                <w:b/>
              </w:rPr>
              <w:t>课程类型</w:t>
            </w:r>
          </w:p>
        </w:tc>
        <w:tc>
          <w:tcPr>
            <w:tcW w:w="1347" w:type="pct"/>
            <w:vMerge w:val="restart"/>
            <w:vAlign w:val="center"/>
          </w:tcPr>
          <w:p>
            <w:pPr>
              <w:jc w:val="center"/>
              <w:rPr>
                <w:b/>
              </w:rPr>
            </w:pPr>
            <w:r>
              <w:rPr>
                <w:rFonts w:hint="eastAsia"/>
                <w:b/>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Merge w:val="continue"/>
          </w:tcPr>
          <w:p/>
        </w:tc>
        <w:tc>
          <w:tcPr>
            <w:tcW w:w="372" w:type="pct"/>
            <w:vMerge w:val="continue"/>
          </w:tcPr>
          <w:p>
            <w:pPr>
              <w:jc w:val="center"/>
              <w:rPr>
                <w:b/>
              </w:rPr>
            </w:pPr>
          </w:p>
        </w:tc>
        <w:tc>
          <w:tcPr>
            <w:tcW w:w="446" w:type="pct"/>
            <w:vMerge w:val="continue"/>
          </w:tcPr>
          <w:p>
            <w:pPr>
              <w:jc w:val="center"/>
              <w:rPr>
                <w:b/>
              </w:rPr>
            </w:pPr>
          </w:p>
        </w:tc>
        <w:tc>
          <w:tcPr>
            <w:tcW w:w="824" w:type="pct"/>
          </w:tcPr>
          <w:p>
            <w:pPr>
              <w:jc w:val="center"/>
              <w:rPr>
                <w:b/>
              </w:rPr>
            </w:pPr>
            <w:r>
              <w:rPr>
                <w:rFonts w:hint="eastAsia"/>
                <w:b/>
              </w:rPr>
              <w:t>理论学时</w:t>
            </w:r>
          </w:p>
        </w:tc>
        <w:tc>
          <w:tcPr>
            <w:tcW w:w="975" w:type="pct"/>
          </w:tcPr>
          <w:p>
            <w:pPr>
              <w:jc w:val="center"/>
              <w:rPr>
                <w:b/>
              </w:rPr>
            </w:pPr>
            <w:r>
              <w:rPr>
                <w:rFonts w:hint="eastAsia"/>
                <w:b/>
              </w:rPr>
              <w:t>实践学时</w:t>
            </w:r>
          </w:p>
        </w:tc>
        <w:tc>
          <w:tcPr>
            <w:tcW w:w="1347" w:type="pct"/>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35" w:type="pct"/>
            <w:vAlign w:val="center"/>
          </w:tcPr>
          <w:p>
            <w:r>
              <w:rPr>
                <w:rFonts w:hint="eastAsia"/>
              </w:rPr>
              <w:t>公共基础必修课程</w:t>
            </w:r>
          </w:p>
        </w:tc>
        <w:tc>
          <w:tcPr>
            <w:tcW w:w="372" w:type="pct"/>
            <w:vAlign w:val="center"/>
          </w:tcPr>
          <w:p>
            <w:pPr>
              <w:jc w:val="center"/>
            </w:pPr>
            <w:r>
              <w:rPr>
                <w:rFonts w:hint="eastAsia"/>
              </w:rPr>
              <w:t>37</w:t>
            </w:r>
          </w:p>
        </w:tc>
        <w:tc>
          <w:tcPr>
            <w:tcW w:w="446" w:type="pct"/>
            <w:vAlign w:val="center"/>
          </w:tcPr>
          <w:p>
            <w:pPr>
              <w:jc w:val="center"/>
            </w:pPr>
            <w:r>
              <w:rPr>
                <w:rFonts w:hint="eastAsia"/>
              </w:rPr>
              <w:t>728</w:t>
            </w:r>
          </w:p>
        </w:tc>
        <w:tc>
          <w:tcPr>
            <w:tcW w:w="824" w:type="pct"/>
            <w:vAlign w:val="center"/>
          </w:tcPr>
          <w:p>
            <w:pPr>
              <w:jc w:val="center"/>
            </w:pPr>
            <w:r>
              <w:rPr>
                <w:rFonts w:hint="eastAsia"/>
              </w:rPr>
              <w:t>408</w:t>
            </w:r>
          </w:p>
        </w:tc>
        <w:tc>
          <w:tcPr>
            <w:tcW w:w="975" w:type="pct"/>
            <w:vAlign w:val="center"/>
          </w:tcPr>
          <w:p>
            <w:pPr>
              <w:jc w:val="center"/>
            </w:pPr>
            <w:r>
              <w:rPr>
                <w:rFonts w:hint="eastAsia"/>
              </w:rPr>
              <w:t>320</w:t>
            </w: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26.04%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Align w:val="center"/>
          </w:tcPr>
          <w:p>
            <w:r>
              <w:rPr>
                <w:rFonts w:hint="eastAsia"/>
              </w:rPr>
              <w:t>公共基础选修课程</w:t>
            </w:r>
          </w:p>
        </w:tc>
        <w:tc>
          <w:tcPr>
            <w:tcW w:w="372" w:type="pct"/>
            <w:vAlign w:val="center"/>
          </w:tcPr>
          <w:p>
            <w:pPr>
              <w:jc w:val="center"/>
            </w:pPr>
            <w:r>
              <w:rPr>
                <w:rFonts w:hint="eastAsia"/>
              </w:rPr>
              <w:t>6</w:t>
            </w:r>
          </w:p>
        </w:tc>
        <w:tc>
          <w:tcPr>
            <w:tcW w:w="446" w:type="pct"/>
            <w:vAlign w:val="center"/>
          </w:tcPr>
          <w:p>
            <w:pPr>
              <w:jc w:val="center"/>
            </w:pPr>
            <w:r>
              <w:rPr>
                <w:rFonts w:hint="eastAsia"/>
              </w:rPr>
              <w:t>108</w:t>
            </w:r>
          </w:p>
        </w:tc>
        <w:tc>
          <w:tcPr>
            <w:tcW w:w="824" w:type="pct"/>
            <w:vAlign w:val="center"/>
          </w:tcPr>
          <w:p>
            <w:pPr>
              <w:jc w:val="center"/>
            </w:pPr>
            <w:r>
              <w:rPr>
                <w:rFonts w:hint="eastAsia"/>
              </w:rPr>
              <w:t>108</w:t>
            </w:r>
          </w:p>
        </w:tc>
        <w:tc>
          <w:tcPr>
            <w:tcW w:w="975" w:type="pct"/>
            <w:vAlign w:val="center"/>
          </w:tcPr>
          <w:p>
            <w:pPr>
              <w:jc w:val="center"/>
            </w:pP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Align w:val="center"/>
          </w:tcPr>
          <w:p>
            <w:r>
              <w:rPr>
                <w:rFonts w:hint="eastAsia"/>
              </w:rPr>
              <w:t>专业基础课程</w:t>
            </w:r>
          </w:p>
        </w:tc>
        <w:tc>
          <w:tcPr>
            <w:tcW w:w="372" w:type="pct"/>
            <w:vAlign w:val="center"/>
          </w:tcPr>
          <w:p>
            <w:pPr>
              <w:jc w:val="center"/>
            </w:pPr>
            <w:r>
              <w:rPr>
                <w:rFonts w:hint="eastAsia"/>
              </w:rPr>
              <w:t>27</w:t>
            </w:r>
          </w:p>
        </w:tc>
        <w:tc>
          <w:tcPr>
            <w:tcW w:w="446" w:type="pct"/>
            <w:vAlign w:val="center"/>
          </w:tcPr>
          <w:p>
            <w:pPr>
              <w:jc w:val="center"/>
            </w:pPr>
            <w:r>
              <w:rPr>
                <w:rFonts w:hint="eastAsia"/>
              </w:rPr>
              <w:t>460</w:t>
            </w:r>
          </w:p>
        </w:tc>
        <w:tc>
          <w:tcPr>
            <w:tcW w:w="824" w:type="pct"/>
            <w:vAlign w:val="center"/>
          </w:tcPr>
          <w:p>
            <w:pPr>
              <w:jc w:val="center"/>
            </w:pPr>
            <w:r>
              <w:rPr>
                <w:rFonts w:hint="eastAsia"/>
              </w:rPr>
              <w:t>230</w:t>
            </w:r>
          </w:p>
        </w:tc>
        <w:tc>
          <w:tcPr>
            <w:tcW w:w="975" w:type="pct"/>
            <w:vAlign w:val="center"/>
          </w:tcPr>
          <w:p>
            <w:pPr>
              <w:jc w:val="center"/>
            </w:pPr>
            <w:r>
              <w:rPr>
                <w:rFonts w:hint="eastAsia"/>
              </w:rPr>
              <w:t>230</w:t>
            </w: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16.45%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Align w:val="center"/>
          </w:tcPr>
          <w:p>
            <w:r>
              <w:rPr>
                <w:rFonts w:hint="eastAsia"/>
              </w:rPr>
              <w:t>专业核心课程</w:t>
            </w:r>
          </w:p>
        </w:tc>
        <w:tc>
          <w:tcPr>
            <w:tcW w:w="372" w:type="pct"/>
            <w:vAlign w:val="center"/>
          </w:tcPr>
          <w:p>
            <w:pPr>
              <w:jc w:val="center"/>
            </w:pPr>
            <w:r>
              <w:rPr>
                <w:rFonts w:hint="eastAsia"/>
              </w:rPr>
              <w:t>24</w:t>
            </w:r>
          </w:p>
        </w:tc>
        <w:tc>
          <w:tcPr>
            <w:tcW w:w="446" w:type="pct"/>
            <w:vAlign w:val="center"/>
          </w:tcPr>
          <w:p>
            <w:pPr>
              <w:jc w:val="center"/>
            </w:pPr>
            <w:r>
              <w:rPr>
                <w:rFonts w:hint="eastAsia"/>
              </w:rPr>
              <w:t>432</w:t>
            </w:r>
          </w:p>
        </w:tc>
        <w:tc>
          <w:tcPr>
            <w:tcW w:w="824" w:type="pct"/>
            <w:vAlign w:val="center"/>
          </w:tcPr>
          <w:p>
            <w:pPr>
              <w:jc w:val="center"/>
            </w:pPr>
            <w:r>
              <w:rPr>
                <w:rFonts w:hint="eastAsia"/>
              </w:rPr>
              <w:t>216</w:t>
            </w:r>
          </w:p>
        </w:tc>
        <w:tc>
          <w:tcPr>
            <w:tcW w:w="975" w:type="pct"/>
            <w:vAlign w:val="center"/>
          </w:tcPr>
          <w:p>
            <w:pPr>
              <w:jc w:val="center"/>
            </w:pPr>
            <w:r>
              <w:rPr>
                <w:rFonts w:hint="eastAsia"/>
              </w:rPr>
              <w:t>216</w:t>
            </w: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15.45%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Align w:val="center"/>
          </w:tcPr>
          <w:p>
            <w:r>
              <w:rPr>
                <w:rFonts w:hint="eastAsia"/>
              </w:rPr>
              <w:t>专业拓展课程</w:t>
            </w:r>
          </w:p>
        </w:tc>
        <w:tc>
          <w:tcPr>
            <w:tcW w:w="372" w:type="pct"/>
            <w:vAlign w:val="center"/>
          </w:tcPr>
          <w:p>
            <w:pPr>
              <w:jc w:val="center"/>
            </w:pPr>
            <w:r>
              <w:rPr>
                <w:rFonts w:hint="eastAsia"/>
              </w:rPr>
              <w:t>4</w:t>
            </w:r>
          </w:p>
        </w:tc>
        <w:tc>
          <w:tcPr>
            <w:tcW w:w="446" w:type="pct"/>
            <w:vAlign w:val="center"/>
          </w:tcPr>
          <w:p>
            <w:pPr>
              <w:jc w:val="center"/>
            </w:pPr>
            <w:r>
              <w:rPr>
                <w:rFonts w:hint="eastAsia"/>
              </w:rPr>
              <w:t>72</w:t>
            </w:r>
          </w:p>
        </w:tc>
        <w:tc>
          <w:tcPr>
            <w:tcW w:w="824" w:type="pct"/>
            <w:vAlign w:val="center"/>
          </w:tcPr>
          <w:p>
            <w:pPr>
              <w:jc w:val="center"/>
            </w:pPr>
            <w:r>
              <w:rPr>
                <w:rFonts w:hint="eastAsia"/>
              </w:rPr>
              <w:t>36</w:t>
            </w:r>
          </w:p>
        </w:tc>
        <w:tc>
          <w:tcPr>
            <w:tcW w:w="975" w:type="pct"/>
            <w:vAlign w:val="center"/>
          </w:tcPr>
          <w:p>
            <w:pPr>
              <w:jc w:val="center"/>
            </w:pPr>
            <w:r>
              <w:rPr>
                <w:rFonts w:hint="eastAsia"/>
              </w:rPr>
              <w:t>36</w:t>
            </w: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Align w:val="center"/>
          </w:tcPr>
          <w:p>
            <w:r>
              <w:rPr>
                <w:rFonts w:hint="eastAsia"/>
              </w:rPr>
              <w:t>专业选修课</w:t>
            </w:r>
          </w:p>
        </w:tc>
        <w:tc>
          <w:tcPr>
            <w:tcW w:w="372" w:type="pct"/>
            <w:vAlign w:val="center"/>
          </w:tcPr>
          <w:p>
            <w:pPr>
              <w:jc w:val="center"/>
            </w:pPr>
            <w:r>
              <w:rPr>
                <w:rFonts w:hint="eastAsia"/>
              </w:rPr>
              <w:t>4</w:t>
            </w:r>
          </w:p>
        </w:tc>
        <w:tc>
          <w:tcPr>
            <w:tcW w:w="446" w:type="pct"/>
            <w:vAlign w:val="center"/>
          </w:tcPr>
          <w:p>
            <w:pPr>
              <w:jc w:val="center"/>
            </w:pPr>
            <w:r>
              <w:rPr>
                <w:rFonts w:hint="eastAsia"/>
              </w:rPr>
              <w:t>80</w:t>
            </w:r>
          </w:p>
        </w:tc>
        <w:tc>
          <w:tcPr>
            <w:tcW w:w="824" w:type="pct"/>
            <w:vAlign w:val="center"/>
          </w:tcPr>
          <w:p>
            <w:pPr>
              <w:jc w:val="center"/>
            </w:pPr>
            <w:r>
              <w:rPr>
                <w:rFonts w:hint="eastAsia"/>
              </w:rPr>
              <w:t>40</w:t>
            </w:r>
          </w:p>
        </w:tc>
        <w:tc>
          <w:tcPr>
            <w:tcW w:w="975" w:type="pct"/>
            <w:vAlign w:val="center"/>
          </w:tcPr>
          <w:p>
            <w:pPr>
              <w:jc w:val="center"/>
            </w:pPr>
            <w:r>
              <w:rPr>
                <w:rFonts w:hint="eastAsia"/>
              </w:rPr>
              <w:t>40</w:t>
            </w: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vAlign w:val="center"/>
          </w:tcPr>
          <w:p>
            <w:r>
              <w:rPr>
                <w:rFonts w:hint="eastAsia"/>
              </w:rPr>
              <w:t>实习实训课程</w:t>
            </w:r>
          </w:p>
        </w:tc>
        <w:tc>
          <w:tcPr>
            <w:tcW w:w="372" w:type="pct"/>
            <w:vAlign w:val="center"/>
          </w:tcPr>
          <w:p>
            <w:pPr>
              <w:jc w:val="center"/>
            </w:pPr>
            <w:r>
              <w:rPr>
                <w:rFonts w:hint="eastAsia"/>
              </w:rPr>
              <w:t>36</w:t>
            </w:r>
          </w:p>
        </w:tc>
        <w:tc>
          <w:tcPr>
            <w:tcW w:w="446" w:type="pct"/>
            <w:vAlign w:val="center"/>
          </w:tcPr>
          <w:p>
            <w:pPr>
              <w:jc w:val="center"/>
            </w:pPr>
            <w:r>
              <w:rPr>
                <w:rFonts w:hint="eastAsia"/>
              </w:rPr>
              <w:t>916</w:t>
            </w:r>
          </w:p>
        </w:tc>
        <w:tc>
          <w:tcPr>
            <w:tcW w:w="824" w:type="pct"/>
            <w:vAlign w:val="center"/>
          </w:tcPr>
          <w:p>
            <w:pPr>
              <w:jc w:val="center"/>
            </w:pPr>
          </w:p>
        </w:tc>
        <w:tc>
          <w:tcPr>
            <w:tcW w:w="975" w:type="pct"/>
            <w:vAlign w:val="center"/>
          </w:tcPr>
          <w:p>
            <w:pPr>
              <w:jc w:val="center"/>
            </w:pPr>
            <w:r>
              <w:rPr>
                <w:rFonts w:hint="eastAsia"/>
              </w:rPr>
              <w:t>916</w:t>
            </w:r>
          </w:p>
        </w:tc>
        <w:tc>
          <w:tcPr>
            <w:tcW w:w="1347" w:type="pct"/>
            <w:vAlign w:val="center"/>
          </w:tcPr>
          <w:p>
            <w:pPr>
              <w:jc w:val="center"/>
              <w:textAlignment w:val="center"/>
              <w:rPr>
                <w:rFonts w:ascii="宋体" w:hAnsi="宋体"/>
                <w:sz w:val="18"/>
                <w:szCs w:val="18"/>
              </w:rPr>
            </w:pPr>
            <w:r>
              <w:rPr>
                <w:rFonts w:hint="eastAsia" w:ascii="宋体" w:hAnsi="宋体"/>
                <w:kern w:val="0"/>
                <w:sz w:val="18"/>
                <w:szCs w:val="18"/>
                <w:lang w:bidi="ar"/>
              </w:rPr>
              <w:t>32.76%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tcPr>
          <w:p>
            <w:pPr>
              <w:jc w:val="center"/>
              <w:rPr>
                <w:b/>
              </w:rPr>
            </w:pPr>
            <w:r>
              <w:rPr>
                <w:rFonts w:hint="eastAsia"/>
                <w:b/>
              </w:rPr>
              <w:t>小计</w:t>
            </w:r>
          </w:p>
        </w:tc>
        <w:tc>
          <w:tcPr>
            <w:tcW w:w="372" w:type="pct"/>
            <w:vAlign w:val="center"/>
          </w:tcPr>
          <w:p>
            <w:pPr>
              <w:jc w:val="center"/>
            </w:pPr>
            <w:r>
              <w:rPr>
                <w:rFonts w:hint="eastAsia"/>
              </w:rPr>
              <w:t>138</w:t>
            </w:r>
          </w:p>
        </w:tc>
        <w:tc>
          <w:tcPr>
            <w:tcW w:w="446" w:type="pct"/>
            <w:vAlign w:val="center"/>
          </w:tcPr>
          <w:p>
            <w:pPr>
              <w:jc w:val="center"/>
            </w:pPr>
            <w:r>
              <w:rPr>
                <w:rFonts w:hint="eastAsia"/>
              </w:rPr>
              <w:t>2748</w:t>
            </w:r>
          </w:p>
        </w:tc>
        <w:tc>
          <w:tcPr>
            <w:tcW w:w="824" w:type="pct"/>
            <w:vAlign w:val="center"/>
          </w:tcPr>
          <w:p>
            <w:pPr>
              <w:jc w:val="center"/>
            </w:pPr>
            <w:r>
              <w:rPr>
                <w:rFonts w:hint="eastAsia"/>
              </w:rPr>
              <w:t>1038</w:t>
            </w:r>
          </w:p>
        </w:tc>
        <w:tc>
          <w:tcPr>
            <w:tcW w:w="975" w:type="pct"/>
            <w:vAlign w:val="center"/>
          </w:tcPr>
          <w:p>
            <w:pPr>
              <w:jc w:val="center"/>
            </w:pPr>
            <w:r>
              <w:rPr>
                <w:rFonts w:hint="eastAsia"/>
              </w:rPr>
              <w:t>17</w:t>
            </w:r>
            <w:r>
              <w:t>10</w:t>
            </w:r>
          </w:p>
        </w:tc>
        <w:tc>
          <w:tcPr>
            <w:tcW w:w="1347" w:type="pct"/>
            <w:vAlign w:val="center"/>
          </w:tcPr>
          <w:p>
            <w:pPr>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tcPr>
          <w:p>
            <w:pPr>
              <w:jc w:val="center"/>
              <w:rPr>
                <w:b/>
              </w:rPr>
            </w:pPr>
            <w:r>
              <w:rPr>
                <w:rFonts w:hint="eastAsia"/>
                <w:b/>
              </w:rPr>
              <w:t>总学时</w:t>
            </w:r>
          </w:p>
        </w:tc>
        <w:tc>
          <w:tcPr>
            <w:tcW w:w="3965" w:type="pct"/>
            <w:gridSpan w:val="5"/>
          </w:tcPr>
          <w:p>
            <w:pPr>
              <w:jc w:val="center"/>
            </w:pPr>
            <w:r>
              <w:rPr>
                <w:rFonts w:hint="eastAsia"/>
              </w:rPr>
              <w:t>27</w:t>
            </w: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35" w:type="pct"/>
          </w:tcPr>
          <w:p>
            <w:pPr>
              <w:jc w:val="center"/>
              <w:rPr>
                <w:b/>
              </w:rPr>
            </w:pPr>
            <w:r>
              <w:rPr>
                <w:rFonts w:hint="eastAsia"/>
                <w:b/>
              </w:rPr>
              <w:t>占比</w:t>
            </w:r>
          </w:p>
        </w:tc>
        <w:tc>
          <w:tcPr>
            <w:tcW w:w="372" w:type="pct"/>
          </w:tcPr>
          <w:p>
            <w:pPr>
              <w:jc w:val="center"/>
            </w:pPr>
          </w:p>
        </w:tc>
        <w:tc>
          <w:tcPr>
            <w:tcW w:w="446" w:type="pct"/>
          </w:tcPr>
          <w:p>
            <w:pPr>
              <w:jc w:val="center"/>
            </w:pPr>
            <w:r>
              <w:rPr>
                <w:rFonts w:hint="eastAsia"/>
              </w:rPr>
              <w:t>100%</w:t>
            </w:r>
          </w:p>
        </w:tc>
        <w:tc>
          <w:tcPr>
            <w:tcW w:w="824" w:type="pct"/>
          </w:tcPr>
          <w:p>
            <w:pPr>
              <w:jc w:val="center"/>
            </w:pPr>
            <w:r>
              <w:rPr>
                <w:rFonts w:hint="eastAsia"/>
              </w:rPr>
              <w:t>32.76%</w:t>
            </w:r>
          </w:p>
        </w:tc>
        <w:tc>
          <w:tcPr>
            <w:tcW w:w="975" w:type="pct"/>
          </w:tcPr>
          <w:p>
            <w:pPr>
              <w:jc w:val="center"/>
            </w:pPr>
            <w:r>
              <w:rPr>
                <w:rFonts w:hint="eastAsia"/>
              </w:rPr>
              <w:t>67.24%</w:t>
            </w:r>
          </w:p>
        </w:tc>
        <w:tc>
          <w:tcPr>
            <w:tcW w:w="1347" w:type="pct"/>
          </w:tcPr>
          <w:p/>
        </w:tc>
      </w:tr>
    </w:tbl>
    <w:p>
      <w:pPr>
        <w:jc w:val="center"/>
        <w:rPr>
          <w:rFonts w:ascii="仿宋" w:hAnsi="仿宋" w:eastAsia="仿宋"/>
          <w:sz w:val="32"/>
          <w:szCs w:val="32"/>
        </w:rPr>
      </w:pPr>
    </w:p>
    <w:sectPr>
      <w:pgSz w:w="11906" w:h="16838"/>
      <w:pgMar w:top="1440" w:right="1304" w:bottom="1440" w:left="1361"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lvlText w:val="%1."/>
      <w:lvlJc w:val="left"/>
      <w:pPr>
        <w:tabs>
          <w:tab w:val="left" w:pos="312"/>
        </w:tabs>
      </w:pPr>
    </w:lvl>
  </w:abstractNum>
  <w:abstractNum w:abstractNumId="1">
    <w:nsid w:val="0BC7116E"/>
    <w:multiLevelType w:val="singleLevel"/>
    <w:tmpl w:val="0BC7116E"/>
    <w:lvl w:ilvl="0" w:tentative="0">
      <w:start w:val="2"/>
      <w:numFmt w:val="decimal"/>
      <w:suff w:val="nothing"/>
      <w:lvlText w:val="（%1）"/>
      <w:lvlJc w:val="left"/>
      <w:pPr>
        <w:ind w:left="-60"/>
      </w:pPr>
    </w:lvl>
  </w:abstractNum>
  <w:abstractNum w:abstractNumId="2">
    <w:nsid w:val="36D11D87"/>
    <w:multiLevelType w:val="multilevel"/>
    <w:tmpl w:val="36D11D8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lZTIzN2RkYWUwYmZjYThlMDY2Y2MyNWZhMGFiZGEifQ=="/>
  </w:docVars>
  <w:rsids>
    <w:rsidRoot w:val="00F40584"/>
    <w:rsid w:val="00000135"/>
    <w:rsid w:val="00060F5C"/>
    <w:rsid w:val="000C100F"/>
    <w:rsid w:val="0013728D"/>
    <w:rsid w:val="00193DA8"/>
    <w:rsid w:val="0022159C"/>
    <w:rsid w:val="002462D4"/>
    <w:rsid w:val="002C02DB"/>
    <w:rsid w:val="003C6D5D"/>
    <w:rsid w:val="003D4FB0"/>
    <w:rsid w:val="00460323"/>
    <w:rsid w:val="00514243"/>
    <w:rsid w:val="0053616B"/>
    <w:rsid w:val="005761C6"/>
    <w:rsid w:val="005F3B89"/>
    <w:rsid w:val="00615D04"/>
    <w:rsid w:val="006F301C"/>
    <w:rsid w:val="006F61E5"/>
    <w:rsid w:val="007302C6"/>
    <w:rsid w:val="0076661B"/>
    <w:rsid w:val="008907E8"/>
    <w:rsid w:val="008A4D36"/>
    <w:rsid w:val="00976B5F"/>
    <w:rsid w:val="009A5CF1"/>
    <w:rsid w:val="009C19D6"/>
    <w:rsid w:val="009F2FDE"/>
    <w:rsid w:val="00AA2219"/>
    <w:rsid w:val="00AA4026"/>
    <w:rsid w:val="00AB523F"/>
    <w:rsid w:val="00B53C6D"/>
    <w:rsid w:val="00B9585E"/>
    <w:rsid w:val="00C54955"/>
    <w:rsid w:val="00CA0E5A"/>
    <w:rsid w:val="00CE4C39"/>
    <w:rsid w:val="00DF64A4"/>
    <w:rsid w:val="00E22462"/>
    <w:rsid w:val="00E302B2"/>
    <w:rsid w:val="00E564FD"/>
    <w:rsid w:val="00E92EEE"/>
    <w:rsid w:val="00EA3128"/>
    <w:rsid w:val="00EB4138"/>
    <w:rsid w:val="00F40584"/>
    <w:rsid w:val="00F91C7A"/>
    <w:rsid w:val="018A7679"/>
    <w:rsid w:val="01B275B5"/>
    <w:rsid w:val="01C65812"/>
    <w:rsid w:val="034C1E45"/>
    <w:rsid w:val="03595FC7"/>
    <w:rsid w:val="03D565AD"/>
    <w:rsid w:val="062E0F1B"/>
    <w:rsid w:val="06B521E2"/>
    <w:rsid w:val="08B17BE1"/>
    <w:rsid w:val="091A7535"/>
    <w:rsid w:val="0A2D463B"/>
    <w:rsid w:val="0B293A5F"/>
    <w:rsid w:val="0D097211"/>
    <w:rsid w:val="0FE64614"/>
    <w:rsid w:val="10B3382F"/>
    <w:rsid w:val="10F3363C"/>
    <w:rsid w:val="12137217"/>
    <w:rsid w:val="15237771"/>
    <w:rsid w:val="158502CD"/>
    <w:rsid w:val="164D5A29"/>
    <w:rsid w:val="16663DB9"/>
    <w:rsid w:val="17EF4FE8"/>
    <w:rsid w:val="199C1235"/>
    <w:rsid w:val="1B3C7030"/>
    <w:rsid w:val="1C0F4EF3"/>
    <w:rsid w:val="1C62208B"/>
    <w:rsid w:val="1D33132D"/>
    <w:rsid w:val="1D61177E"/>
    <w:rsid w:val="1DB76B12"/>
    <w:rsid w:val="220F3557"/>
    <w:rsid w:val="24090A61"/>
    <w:rsid w:val="255B4D05"/>
    <w:rsid w:val="28EA3771"/>
    <w:rsid w:val="2B746468"/>
    <w:rsid w:val="2CFA0224"/>
    <w:rsid w:val="2DF6381D"/>
    <w:rsid w:val="2F1523C9"/>
    <w:rsid w:val="2F212B1B"/>
    <w:rsid w:val="305326B0"/>
    <w:rsid w:val="326940B7"/>
    <w:rsid w:val="33E5680D"/>
    <w:rsid w:val="341243A3"/>
    <w:rsid w:val="347D07F4"/>
    <w:rsid w:val="37B16BCC"/>
    <w:rsid w:val="38A85F49"/>
    <w:rsid w:val="38B844F1"/>
    <w:rsid w:val="3A6D2C15"/>
    <w:rsid w:val="3D5B544A"/>
    <w:rsid w:val="3F4A5777"/>
    <w:rsid w:val="3F52287D"/>
    <w:rsid w:val="40A86BF9"/>
    <w:rsid w:val="4155154E"/>
    <w:rsid w:val="428471F1"/>
    <w:rsid w:val="44E64193"/>
    <w:rsid w:val="47013507"/>
    <w:rsid w:val="47897FB7"/>
    <w:rsid w:val="482F5E51"/>
    <w:rsid w:val="487921C7"/>
    <w:rsid w:val="48C60564"/>
    <w:rsid w:val="4B685FF4"/>
    <w:rsid w:val="4BFF5B3B"/>
    <w:rsid w:val="4CA551C9"/>
    <w:rsid w:val="4D467EC5"/>
    <w:rsid w:val="4EFF657E"/>
    <w:rsid w:val="4F421620"/>
    <w:rsid w:val="501F67AB"/>
    <w:rsid w:val="50A05B3E"/>
    <w:rsid w:val="50C11611"/>
    <w:rsid w:val="51E101BC"/>
    <w:rsid w:val="547B6AD0"/>
    <w:rsid w:val="54EB1352"/>
    <w:rsid w:val="560477BF"/>
    <w:rsid w:val="587932F5"/>
    <w:rsid w:val="59413C36"/>
    <w:rsid w:val="59BB12F3"/>
    <w:rsid w:val="59F42A57"/>
    <w:rsid w:val="5CBA7364"/>
    <w:rsid w:val="5F342C2F"/>
    <w:rsid w:val="603242D9"/>
    <w:rsid w:val="60844B35"/>
    <w:rsid w:val="60AE1BB1"/>
    <w:rsid w:val="63B061A3"/>
    <w:rsid w:val="64A47615"/>
    <w:rsid w:val="66AA2E1B"/>
    <w:rsid w:val="66EA3218"/>
    <w:rsid w:val="672901E4"/>
    <w:rsid w:val="682E182A"/>
    <w:rsid w:val="68694610"/>
    <w:rsid w:val="6DC42A14"/>
    <w:rsid w:val="6E3D4575"/>
    <w:rsid w:val="71750ADE"/>
    <w:rsid w:val="724C2FD8"/>
    <w:rsid w:val="727F33AE"/>
    <w:rsid w:val="73920EBF"/>
    <w:rsid w:val="76876CD5"/>
    <w:rsid w:val="78250553"/>
    <w:rsid w:val="78AA0A59"/>
    <w:rsid w:val="79166B28"/>
    <w:rsid w:val="79A8143C"/>
    <w:rsid w:val="7A097A01"/>
    <w:rsid w:val="7C507B69"/>
    <w:rsid w:val="7ED92098"/>
    <w:rsid w:val="7EF42A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宋体"/>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28"/>
    <w:qFormat/>
    <w:uiPriority w:val="0"/>
    <w:pPr>
      <w:widowControl w:val="0"/>
    </w:pPr>
    <w:rPr>
      <w:rFonts w:ascii="Times New Roman" w:hAnsi="Times New Roman" w:cs="Times New Roman"/>
      <w:sz w:val="24"/>
    </w:rPr>
  </w:style>
  <w:style w:type="paragraph" w:styleId="4">
    <w:name w:val="Document Map"/>
    <w:basedOn w:val="1"/>
    <w:link w:val="32"/>
    <w:qFormat/>
    <w:uiPriority w:val="0"/>
    <w:pPr>
      <w:widowControl w:val="0"/>
      <w:shd w:val="clear" w:color="auto" w:fill="000080"/>
    </w:pPr>
    <w:rPr>
      <w:rFonts w:cs="Times New Roman"/>
      <w:szCs w:val="22"/>
    </w:rPr>
  </w:style>
  <w:style w:type="paragraph" w:styleId="5">
    <w:name w:val="annotation text"/>
    <w:basedOn w:val="1"/>
    <w:link w:val="34"/>
    <w:qFormat/>
    <w:uiPriority w:val="99"/>
    <w:pPr>
      <w:widowControl w:val="0"/>
      <w:jc w:val="left"/>
    </w:pPr>
    <w:rPr>
      <w:rFonts w:eastAsia="等线" w:cs="Times New Roman"/>
      <w:sz w:val="24"/>
      <w:szCs w:val="20"/>
    </w:rPr>
  </w:style>
  <w:style w:type="paragraph" w:styleId="6">
    <w:name w:val="Balloon Text"/>
    <w:basedOn w:val="1"/>
    <w:link w:val="36"/>
    <w:qFormat/>
    <w:uiPriority w:val="0"/>
    <w:rPr>
      <w:sz w:val="18"/>
      <w:szCs w:val="18"/>
    </w:rPr>
  </w:style>
  <w:style w:type="paragraph" w:styleId="7">
    <w:name w:val="footer"/>
    <w:basedOn w:val="1"/>
    <w:link w:val="18"/>
    <w:qFormat/>
    <w:uiPriority w:val="0"/>
    <w:pPr>
      <w:tabs>
        <w:tab w:val="right" w:pos="4153"/>
        <w:tab w:val="left" w:leader="underscore" w:pos="8306"/>
      </w:tabs>
      <w:snapToGrid w:val="0"/>
      <w:jc w:val="left"/>
    </w:pPr>
    <w:rPr>
      <w:sz w:val="18"/>
      <w:szCs w:val="18"/>
    </w:rPr>
  </w:style>
  <w:style w:type="paragraph" w:styleId="8">
    <w:name w:val="header"/>
    <w:basedOn w:val="1"/>
    <w:link w:val="19"/>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9">
    <w:name w:val="HTML Preformatted"/>
    <w:basedOn w:val="1"/>
    <w:link w:val="38"/>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0">
    <w:name w:val="Normal (Web)"/>
    <w:basedOn w:val="1"/>
    <w:qFormat/>
    <w:uiPriority w:val="99"/>
    <w:pPr>
      <w:spacing w:before="100" w:beforeAutospacing="1" w:after="100" w:afterAutospacing="1"/>
      <w:jc w:val="left"/>
    </w:pPr>
    <w:rPr>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rFonts w:ascii="Calibri" w:hAnsi="Calibri" w:eastAsia="宋体" w:cs="Times New Roman"/>
      <w:color w:val="800080"/>
      <w:u w:val="single"/>
    </w:rPr>
  </w:style>
  <w:style w:type="character" w:styleId="15">
    <w:name w:val="Hyperlink"/>
    <w:qFormat/>
    <w:uiPriority w:val="0"/>
    <w:rPr>
      <w:rFonts w:ascii="Calibri" w:hAnsi="Calibri" w:eastAsia="宋体" w:cs="Times New Roman"/>
      <w:color w:val="0000FF"/>
      <w:u w:val="single"/>
    </w:rPr>
  </w:style>
  <w:style w:type="character" w:customStyle="1" w:styleId="16">
    <w:name w:val="NormalCharacter"/>
    <w:qFormat/>
    <w:uiPriority w:val="0"/>
  </w:style>
  <w:style w:type="table" w:customStyle="1" w:styleId="17">
    <w:name w:val="TableNormal"/>
    <w:qFormat/>
    <w:uiPriority w:val="0"/>
    <w:tblPr>
      <w:tblCellMar>
        <w:top w:w="0" w:type="dxa"/>
        <w:left w:w="0" w:type="dxa"/>
        <w:bottom w:w="0" w:type="dxa"/>
        <w:right w:w="0" w:type="dxa"/>
      </w:tblCellMar>
    </w:tblPr>
  </w:style>
  <w:style w:type="character" w:customStyle="1" w:styleId="18">
    <w:name w:val="页脚 Char"/>
    <w:link w:val="7"/>
    <w:qFormat/>
    <w:uiPriority w:val="0"/>
    <w:rPr>
      <w:kern w:val="2"/>
      <w:sz w:val="18"/>
      <w:szCs w:val="18"/>
    </w:rPr>
  </w:style>
  <w:style w:type="character" w:customStyle="1" w:styleId="19">
    <w:name w:val="页眉 Char"/>
    <w:link w:val="8"/>
    <w:qFormat/>
    <w:uiPriority w:val="0"/>
    <w:rPr>
      <w:rFonts w:eastAsia="宋体"/>
      <w:sz w:val="18"/>
      <w:szCs w:val="18"/>
      <w:lang w:val="en-US" w:eastAsia="zh-CN" w:bidi="ar-SA"/>
    </w:rPr>
  </w:style>
  <w:style w:type="paragraph" w:customStyle="1" w:styleId="20">
    <w:name w:val="BodyTextIndent"/>
    <w:basedOn w:val="1"/>
    <w:qFormat/>
    <w:uiPriority w:val="0"/>
    <w:pPr>
      <w:spacing w:line="700" w:lineRule="exact"/>
      <w:ind w:firstLine="640" w:firstLineChars="200"/>
    </w:pPr>
    <w:rPr>
      <w:rFonts w:eastAsia="仿宋"/>
      <w:sz w:val="32"/>
      <w:szCs w:val="22"/>
    </w:rPr>
  </w:style>
  <w:style w:type="paragraph" w:customStyle="1" w:styleId="21">
    <w:name w:val="BodyText"/>
    <w:basedOn w:val="1"/>
    <w:qFormat/>
    <w:uiPriority w:val="0"/>
    <w:pPr>
      <w:ind w:left="120" w:firstLine="528"/>
    </w:pPr>
    <w:rPr>
      <w:rFonts w:ascii="仿宋" w:hAnsi="仿宋" w:eastAsia="仿宋"/>
      <w:sz w:val="28"/>
      <w:szCs w:val="28"/>
      <w:lang w:val="zh-CN" w:bidi="zh-CN"/>
    </w:rPr>
  </w:style>
  <w:style w:type="paragraph" w:customStyle="1" w:styleId="22">
    <w:name w:val="179"/>
    <w:basedOn w:val="1"/>
    <w:qFormat/>
    <w:uiPriority w:val="0"/>
    <w:pPr>
      <w:ind w:left="120" w:hanging="284"/>
    </w:pPr>
    <w:rPr>
      <w:rFonts w:ascii="仿宋" w:hAnsi="仿宋" w:eastAsia="仿宋"/>
      <w:lang w:val="zh-CN" w:bidi="zh-CN"/>
    </w:rPr>
  </w:style>
  <w:style w:type="paragraph" w:customStyle="1" w:styleId="23">
    <w:name w:val="UserStyle_2"/>
    <w:basedOn w:val="1"/>
    <w:next w:val="1"/>
    <w:qFormat/>
    <w:uiPriority w:val="0"/>
    <w:pPr>
      <w:spacing w:line="560" w:lineRule="exact"/>
      <w:ind w:firstLine="560" w:firstLineChars="200"/>
    </w:pPr>
    <w:rPr>
      <w:rFonts w:ascii="宋体" w:hAnsi="宋体"/>
      <w:sz w:val="28"/>
      <w:szCs w:val="28"/>
    </w:rPr>
  </w:style>
  <w:style w:type="paragraph" w:customStyle="1" w:styleId="24">
    <w:name w:val="UserStyle_3"/>
    <w:basedOn w:val="1"/>
    <w:qFormat/>
    <w:uiPriority w:val="0"/>
    <w:rPr>
      <w:rFonts w:ascii="宋体" w:hAnsi="宋体"/>
      <w:lang w:val="zh-CN" w:bidi="zh-CN"/>
    </w:rPr>
  </w:style>
  <w:style w:type="paragraph" w:customStyle="1" w:styleId="25">
    <w:name w:val="UserStyle_4"/>
    <w:basedOn w:val="1"/>
    <w:qFormat/>
    <w:uiPriority w:val="0"/>
    <w:rPr>
      <w:szCs w:val="21"/>
    </w:rPr>
  </w:style>
  <w:style w:type="paragraph" w:customStyle="1" w:styleId="2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7">
    <w:name w:val="TableGrid"/>
    <w:basedOn w:val="17"/>
    <w:qFormat/>
    <w:uiPriority w:val="0"/>
  </w:style>
  <w:style w:type="character" w:customStyle="1" w:styleId="28">
    <w:name w:val="正文文本 Char"/>
    <w:link w:val="3"/>
    <w:qFormat/>
    <w:uiPriority w:val="0"/>
    <w:rPr>
      <w:rFonts w:ascii="Times New Roman" w:hAnsi="Times New Roman" w:eastAsia="宋体"/>
      <w:kern w:val="2"/>
      <w:sz w:val="24"/>
      <w:szCs w:val="24"/>
    </w:rPr>
  </w:style>
  <w:style w:type="character" w:customStyle="1" w:styleId="29">
    <w:name w:val="font01"/>
    <w:qFormat/>
    <w:uiPriority w:val="0"/>
    <w:rPr>
      <w:rFonts w:hint="eastAsia" w:ascii="宋体" w:hAnsi="宋体" w:eastAsia="宋体" w:cs="宋体"/>
      <w:color w:val="000000"/>
      <w:sz w:val="18"/>
      <w:szCs w:val="18"/>
      <w:u w:val="none"/>
    </w:rPr>
  </w:style>
  <w:style w:type="character" w:customStyle="1" w:styleId="30">
    <w:name w:val="font11"/>
    <w:qFormat/>
    <w:uiPriority w:val="0"/>
    <w:rPr>
      <w:rFonts w:hint="default" w:ascii="Times New Roman" w:hAnsi="Times New Roman" w:cs="Times New Roman"/>
      <w:color w:val="000000"/>
      <w:sz w:val="18"/>
      <w:szCs w:val="18"/>
      <w:u w:val="none"/>
    </w:rPr>
  </w:style>
  <w:style w:type="character" w:customStyle="1" w:styleId="31">
    <w:name w:val="font31"/>
    <w:qFormat/>
    <w:uiPriority w:val="0"/>
    <w:rPr>
      <w:rFonts w:hint="default" w:ascii="Times New Roman" w:hAnsi="Times New Roman" w:eastAsia="宋体" w:cs="Times New Roman"/>
      <w:color w:val="000000"/>
      <w:sz w:val="18"/>
      <w:szCs w:val="18"/>
      <w:u w:val="none"/>
    </w:rPr>
  </w:style>
  <w:style w:type="character" w:customStyle="1" w:styleId="32">
    <w:name w:val="文档结构图 Char"/>
    <w:basedOn w:val="13"/>
    <w:link w:val="4"/>
    <w:qFormat/>
    <w:uiPriority w:val="0"/>
    <w:rPr>
      <w:rFonts w:eastAsia="宋体"/>
      <w:kern w:val="2"/>
      <w:sz w:val="21"/>
      <w:szCs w:val="22"/>
      <w:shd w:val="clear" w:color="auto" w:fill="000080"/>
    </w:rPr>
  </w:style>
  <w:style w:type="character" w:customStyle="1" w:styleId="33">
    <w:name w:val="正文文本 Char1"/>
    <w:basedOn w:val="13"/>
    <w:qFormat/>
    <w:uiPriority w:val="0"/>
    <w:rPr>
      <w:rFonts w:eastAsia="宋体" w:cs="宋体"/>
      <w:kern w:val="2"/>
      <w:sz w:val="21"/>
      <w:szCs w:val="24"/>
    </w:rPr>
  </w:style>
  <w:style w:type="character" w:customStyle="1" w:styleId="34">
    <w:name w:val="批注文字 Char"/>
    <w:basedOn w:val="13"/>
    <w:link w:val="5"/>
    <w:qFormat/>
    <w:uiPriority w:val="99"/>
    <w:rPr>
      <w:kern w:val="2"/>
      <w:sz w:val="24"/>
    </w:rPr>
  </w:style>
  <w:style w:type="character" w:customStyle="1" w:styleId="35">
    <w:name w:val="批注文字 Char1"/>
    <w:basedOn w:val="13"/>
    <w:qFormat/>
    <w:uiPriority w:val="0"/>
    <w:rPr>
      <w:rFonts w:eastAsia="宋体" w:cs="宋体"/>
      <w:kern w:val="2"/>
      <w:sz w:val="21"/>
      <w:szCs w:val="24"/>
    </w:rPr>
  </w:style>
  <w:style w:type="character" w:customStyle="1" w:styleId="36">
    <w:name w:val="批注框文本 Char"/>
    <w:basedOn w:val="13"/>
    <w:link w:val="6"/>
    <w:qFormat/>
    <w:uiPriority w:val="0"/>
    <w:rPr>
      <w:rFonts w:eastAsia="宋体" w:cs="宋体"/>
      <w:kern w:val="2"/>
      <w:sz w:val="18"/>
      <w:szCs w:val="18"/>
    </w:rPr>
  </w:style>
  <w:style w:type="paragraph" w:styleId="37">
    <w:name w:val="List Paragraph"/>
    <w:basedOn w:val="1"/>
    <w:qFormat/>
    <w:uiPriority w:val="99"/>
    <w:pPr>
      <w:ind w:firstLine="420" w:firstLineChars="200"/>
    </w:pPr>
  </w:style>
  <w:style w:type="character" w:customStyle="1" w:styleId="38">
    <w:name w:val="HTML 预设格式 Char"/>
    <w:basedOn w:val="13"/>
    <w:link w:val="9"/>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EE4D-78F3-4222-9EE0-C0C79BD443F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25</Pages>
  <Words>14430</Words>
  <Characters>15364</Characters>
  <Lines>121</Lines>
  <Paragraphs>34</Paragraphs>
  <TotalTime>20</TotalTime>
  <ScaleCrop>false</ScaleCrop>
  <LinksUpToDate>false</LinksUpToDate>
  <CharactersWithSpaces>15504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2020-07-19T07:01:00Z</dcterms:created>
  <dc:creator>admin</dc:creator>
  <cp:lastModifiedBy>守望林夕</cp:lastModifiedBy>
  <cp:lastPrinted>2023-08-30T02:18:54Z</cp:lastPrinted>
  <dcterms:modified xsi:type="dcterms:W3CDTF">2023-08-30T02:33:31Z</dcterms:modified>
  <cp:revision>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014E9599E3C74C1D89C52850247420C9_13</vt:lpwstr>
  </property>
</Properties>
</file>